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DA7B9E" w:rsidRDefault="00486A93" w:rsidP="009C4E2B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Приложение 14</w:t>
      </w:r>
    </w:p>
    <w:p w:rsidR="00486A93" w:rsidRPr="00DA7B9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DA7B9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DA7B9E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от 22.12.2021 N 161-р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8850"/>
      <w:bookmarkEnd w:id="0"/>
      <w:r w:rsidRPr="00DA7B9E">
        <w:rPr>
          <w:rFonts w:ascii="Arial" w:hAnsi="Arial" w:cs="Arial"/>
          <w:sz w:val="20"/>
          <w:szCs w:val="20"/>
        </w:rPr>
        <w:t>МЕТОДИКА</w:t>
      </w:r>
    </w:p>
    <w:p w:rsidR="00486A93" w:rsidRPr="00DA7B9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РАСЧЕТА И РАСПРЕДЕЛЕНИЯ ИНЫХ МЕЖБЮДЖЕТНЫХ ТРАНСФЕРТОВ</w:t>
      </w:r>
    </w:p>
    <w:p w:rsidR="00486A93" w:rsidRPr="00DA7B9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НА ПОДДЕРЖКУ МЕР ПО ОБЕСПЕЧЕНИЮ СБАЛАНСИРОВАННОСТИ БЮДЖЕТОВ</w:t>
      </w:r>
    </w:p>
    <w:p w:rsidR="00486A93" w:rsidRPr="00DA7B9E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ПОСЕЛЕНИЙ ИЗ РАЙОННОГО БЮДЖЕТА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2. Объем межбюджетного трансферта на сбалансированность, выделяемого бюджету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2022 (2023, 2024) год, рассчитывается по формуле: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922020" cy="267970"/>
            <wp:effectExtent l="0" t="0" r="0" b="0"/>
            <wp:docPr id="7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>, где: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20955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объем межбюджетного трансферта на сбалансированность, выделяемого бюджету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2022 (2023, 2024)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расчетные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2022 (2023, 2024)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2"/>
          <w:sz w:val="20"/>
          <w:szCs w:val="20"/>
        </w:rPr>
        <w:drawing>
          <wp:inline distT="0" distB="0" distL="0" distR="0">
            <wp:extent cx="285115" cy="302895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расчетные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2022 (2023, 2024) год.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3. Расчетные расходы бюджета поселения рассчитываются по формуле: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2263140" cy="276860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>, где: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209550" cy="26797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расчетные расходы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564515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потребность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31813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01.07.2021).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Из прочих расходов исключаются: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01.07.2021, но не выше суммы, исключенной из доходов в соответствии с </w:t>
      </w:r>
      <w:hyperlink w:anchor="P8894">
        <w:r w:rsidRPr="00DA7B9E">
          <w:rPr>
            <w:rFonts w:ascii="Arial" w:hAnsi="Arial" w:cs="Arial"/>
            <w:color w:val="0000FF"/>
            <w:sz w:val="20"/>
            <w:szCs w:val="20"/>
          </w:rPr>
          <w:t>пунктом 5</w:t>
        </w:r>
      </w:hyperlink>
      <w:r w:rsidRPr="00DA7B9E">
        <w:rPr>
          <w:rFonts w:ascii="Arial" w:hAnsi="Arial" w:cs="Arial"/>
          <w:sz w:val="20"/>
          <w:szCs w:val="20"/>
        </w:rPr>
        <w:t xml:space="preserve"> настоящей Методики, в пределах суммы, исключенной из доходов при расчете межбюджетного трансферта на сбалансированность на 2021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lastRenderedPageBreak/>
        <w:t xml:space="preserve">- суммы ассигнований, учтенных в расчете межбюджетного трансферта на </w:t>
      </w:r>
      <w:bookmarkStart w:id="1" w:name="_GoBack"/>
      <w:bookmarkEnd w:id="1"/>
      <w:r w:rsidRPr="00DA7B9E">
        <w:rPr>
          <w:rFonts w:ascii="Arial" w:hAnsi="Arial" w:cs="Arial"/>
          <w:sz w:val="20"/>
          <w:szCs w:val="20"/>
        </w:rPr>
        <w:t>сбалансированность на 2021 год на выплату заработной платы и начисления на фонд оплаты труда, но направленных в бюджетах муниципальных образований на 2021 год на прочие расходы;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6"/>
          <w:sz w:val="20"/>
          <w:szCs w:val="20"/>
        </w:rPr>
        <w:drawing>
          <wp:inline distT="0" distB="0" distL="0" distR="0">
            <wp:extent cx="276860" cy="22606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коэффициент роста расходов на прочие затраты принимается равным 1,0;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401320" cy="2768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потребность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2021 года).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4. Потребность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в средствах на заработную плату с начислениями рассчитывается по формуле: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4316730" cy="26797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>, где: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564515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потребность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в средствах на заработную плату с начислениями;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712470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фонд оплаты труда выборных лиц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по </w:t>
      </w:r>
      <w:hyperlink r:id="rId17">
        <w:r w:rsidRPr="00DA7B9E">
          <w:rPr>
            <w:rFonts w:ascii="Arial" w:hAnsi="Arial" w:cs="Arial"/>
            <w:color w:val="0000FF"/>
            <w:sz w:val="20"/>
            <w:szCs w:val="20"/>
          </w:rPr>
          <w:t>Методике</w:t>
        </w:r>
      </w:hyperlink>
      <w:r w:rsidRPr="00DA7B9E">
        <w:rPr>
          <w:rFonts w:ascii="Arial" w:hAnsi="Arial" w:cs="Arial"/>
          <w:sz w:val="20"/>
          <w:szCs w:val="20"/>
        </w:rP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62865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фонд оплаты труда муниципальных служащих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по </w:t>
      </w:r>
      <w:hyperlink r:id="rId19">
        <w:r w:rsidRPr="00DA7B9E">
          <w:rPr>
            <w:rFonts w:ascii="Arial" w:hAnsi="Arial" w:cs="Arial"/>
            <w:color w:val="0000FF"/>
            <w:sz w:val="20"/>
            <w:szCs w:val="20"/>
          </w:rPr>
          <w:t>Методике</w:t>
        </w:r>
      </w:hyperlink>
      <w:r w:rsidRPr="00DA7B9E">
        <w:rPr>
          <w:rFonts w:ascii="Arial" w:hAnsi="Arial" w:cs="Arial"/>
          <w:sz w:val="20"/>
          <w:szCs w:val="20"/>
        </w:rP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7683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фонд оплаты труда специалистов, не относящихся к должностям муниципальной службы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исходя из условной расчетной численности специалистов и 50 должностных окладов.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Условная расчетная численность: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1 единица главного специалиста, 1 единица ведущего специалиста - для сельских поселений;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10 единиц главного специалиста, 3 единицы ведущего специалиста - для городского поселения;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должности специалистов, количество которых определено с учетом повышающих коэффициентов в зависимости от наличия в поселении многоквартирных домов, приписных населенных пунктов, муниципальных казенных и унитарных предприятий, оленеводческих бригад и наличия архивной работы - для сельских и городского поселений.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Расчет повышающих коэффициентов: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- наличие многоквартирных домов: 0,5 ставки - до 5 домов, 1 ставка - от 5 и более домов;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lastRenderedPageBreak/>
        <w:t>- наличие приписных населенных пунктов: 0,5 ставки - 1 населенный пункт;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- наличие муниципальных казенных предприятий: 0,5 ставки - 1 МКП;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- наличие муниципальных унитарных предприятий: 1 ставка - 1 МУП;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- наличие оленеводческих бригад - 0,5 ставки;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- наличие архивной работы - 0,5 ставки.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71247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прочего персонала в городском поселении.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 xml:space="preserve"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проектом Федерального </w:t>
      </w:r>
      <w:hyperlink r:id="rId22">
        <w:r w:rsidRPr="00DA7B9E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DA7B9E">
        <w:rPr>
          <w:rFonts w:ascii="Arial" w:hAnsi="Arial" w:cs="Arial"/>
          <w:sz w:val="20"/>
          <w:szCs w:val="20"/>
        </w:rPr>
        <w:t xml:space="preserve"> "О внесении изменений в статью 1 Федерального закона "О минимальном размере оплаты труда",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 xml:space="preserve"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проектом Федерального </w:t>
      </w:r>
      <w:hyperlink r:id="rId23">
        <w:r w:rsidRPr="00DA7B9E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DA7B9E">
        <w:rPr>
          <w:rFonts w:ascii="Arial" w:hAnsi="Arial" w:cs="Arial"/>
          <w:sz w:val="20"/>
          <w:szCs w:val="20"/>
        </w:rPr>
        <w:t xml:space="preserve"> "О внесении изменений в статью 1 Федерального закона "О минимальном размере оплаты труда",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Фонд оплаты труда по прочим должностям городского поселения (водитель)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35179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норматив отчислений во внебюджетные фонды от фонда оплаты труда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рассчитанный по тарифам, определенным </w:t>
      </w:r>
      <w:hyperlink r:id="rId25">
        <w:r w:rsidRPr="00DA7B9E">
          <w:rPr>
            <w:rFonts w:ascii="Arial" w:hAnsi="Arial" w:cs="Arial"/>
            <w:color w:val="0000FF"/>
            <w:sz w:val="20"/>
            <w:szCs w:val="20"/>
          </w:rPr>
          <w:t>главой 34</w:t>
        </w:r>
      </w:hyperlink>
      <w:r w:rsidRPr="00DA7B9E">
        <w:rPr>
          <w:rFonts w:ascii="Arial" w:hAnsi="Arial" w:cs="Arial"/>
          <w:sz w:val="20"/>
          <w:szCs w:val="20"/>
        </w:rPr>
        <w:t xml:space="preserve"> части второй Налогового кодекса Российской Федерации, с учетом </w:t>
      </w:r>
      <w:hyperlink r:id="rId26">
        <w:r w:rsidRPr="00DA7B9E"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 w:rsidRPr="00DA7B9E">
        <w:rPr>
          <w:rFonts w:ascii="Arial" w:hAnsi="Arial" w:cs="Arial"/>
          <w:sz w:val="20"/>
          <w:szCs w:val="20"/>
        </w:rPr>
        <w:t xml:space="preserve"> Правительства РФ от 16.11.2021 N 1951 "О предельной величине базы для исчисления страховых взносов на обязательное социальное страхование на случай временной нетрудоспособности и в связи с материнством и на обязательное пенсионное страхование с 1 января 2022 г.".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8894"/>
      <w:bookmarkEnd w:id="2"/>
      <w:r w:rsidRPr="00DA7B9E">
        <w:rPr>
          <w:rFonts w:ascii="Arial" w:hAnsi="Arial" w:cs="Arial"/>
          <w:sz w:val="20"/>
          <w:szCs w:val="20"/>
        </w:rPr>
        <w:t>5. Расчетные доходы бюджета поселения рассчитываются на основании данных администраторов,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312928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>, где: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25146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расчетные доходы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35179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прогноз налоговых и неналоговых доходов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lastRenderedPageBreak/>
        <w:drawing>
          <wp:inline distT="0" distB="0" distL="0" distR="0">
            <wp:extent cx="310515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от поступления акцизов по подакцизным товарам (продукции), производимым на территории РФ;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276860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от поступления налога, взимаемого в связи с применением упрощенной системы налогообложения;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318135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461010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дотация на выравнивание бюджетной обеспеченности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из бюджета субъекта;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noProof/>
          <w:position w:val="-10"/>
          <w:sz w:val="20"/>
          <w:szCs w:val="2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B9E">
        <w:rPr>
          <w:rFonts w:ascii="Arial" w:hAnsi="Arial" w:cs="Arial"/>
          <w:sz w:val="20"/>
          <w:szCs w:val="20"/>
        </w:rPr>
        <w:t xml:space="preserve"> - дотация на выравнивание бюджетной обеспеченности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из районного бюджета.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8903"/>
      <w:bookmarkEnd w:id="3"/>
      <w:r w:rsidRPr="00DA7B9E">
        <w:rPr>
          <w:rFonts w:ascii="Arial" w:hAnsi="Arial" w:cs="Arial"/>
          <w:sz w:val="20"/>
          <w:szCs w:val="20"/>
        </w:rPr>
        <w:t>6.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 </w:t>
      </w: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j</w:t>
      </w:r>
      <w:proofErr w:type="spellEnd"/>
      <w:r w:rsidRPr="00DA7B9E">
        <w:rPr>
          <w:rFonts w:ascii="Arial" w:hAnsi="Arial" w:cs="Arial"/>
          <w:sz w:val="20"/>
          <w:szCs w:val="20"/>
        </w:rP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A7B9E">
        <w:rPr>
          <w:rFonts w:ascii="Arial" w:hAnsi="Arial" w:cs="Arial"/>
          <w:sz w:val="20"/>
          <w:szCs w:val="20"/>
        </w:rPr>
        <w:t xml:space="preserve">&lt; </w:t>
      </w: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ТГ</w:t>
      </w:r>
      <w:proofErr w:type="gramEnd"/>
      <w:r w:rsidRPr="00DA7B9E">
        <w:rPr>
          <w:rFonts w:ascii="Arial" w:hAnsi="Arial" w:cs="Arial"/>
          <w:sz w:val="20"/>
          <w:szCs w:val="20"/>
          <w:vertAlign w:val="subscript"/>
        </w:rPr>
        <w:t>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и (</w:t>
      </w: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>) &lt; (</w:t>
      </w: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>), где: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затраты, рассчитанные в соответствии с настоящей Методикой;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расчетные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рассчитанные в соответствии с настоящей Методикой;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расчетные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межбюджетный трансферт на сбалансированность для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в соответствии с настоящей Методикой на очередной финансовый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межбюджетный трансферт на сбалансированность для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на текущий финансовый год.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Сумма увеличения расходов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затраты.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= (</w:t>
      </w: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proofErr w:type="gramStart"/>
      <w:r w:rsidRPr="00DA7B9E">
        <w:rPr>
          <w:rFonts w:ascii="Arial" w:hAnsi="Arial" w:cs="Arial"/>
          <w:sz w:val="20"/>
          <w:szCs w:val="20"/>
        </w:rPr>
        <w:t>) &gt;</w:t>
      </w:r>
      <w:proofErr w:type="gramEnd"/>
      <w:r w:rsidRPr="00DA7B9E">
        <w:rPr>
          <w:rFonts w:ascii="Arial" w:hAnsi="Arial" w:cs="Arial"/>
          <w:sz w:val="20"/>
          <w:szCs w:val="20"/>
        </w:rPr>
        <w:t xml:space="preserve">= </w:t>
      </w:r>
      <w:proofErr w:type="spellStart"/>
      <w:r w:rsidRPr="00DA7B9E">
        <w:rPr>
          <w:rFonts w:ascii="Arial" w:hAnsi="Arial" w:cs="Arial"/>
          <w:sz w:val="20"/>
          <w:szCs w:val="20"/>
        </w:rPr>
        <w:t>О</w:t>
      </w:r>
      <w:r w:rsidRPr="00DA7B9E">
        <w:rPr>
          <w:rFonts w:ascii="Arial" w:hAnsi="Arial" w:cs="Arial"/>
          <w:sz w:val="20"/>
          <w:szCs w:val="20"/>
          <w:vertAlign w:val="subscript"/>
        </w:rPr>
        <w:t>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&lt;= ((</w:t>
      </w: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>) - (</w:t>
      </w: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+ </w:t>
      </w: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>)), где: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увеличение расходов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О</w:t>
      </w:r>
      <w:r w:rsidRPr="00DA7B9E">
        <w:rPr>
          <w:rFonts w:ascii="Arial" w:hAnsi="Arial" w:cs="Arial"/>
          <w:sz w:val="20"/>
          <w:szCs w:val="20"/>
          <w:vertAlign w:val="subscript"/>
        </w:rPr>
        <w:t>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затраты, рассчитанные в соответствии с настоящей Методикой;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ПЗ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</w:t>
      </w:r>
      <w:r w:rsidRPr="00DA7B9E">
        <w:rPr>
          <w:rFonts w:ascii="Arial" w:hAnsi="Arial" w:cs="Arial"/>
          <w:sz w:val="20"/>
          <w:szCs w:val="20"/>
        </w:rPr>
        <w:lastRenderedPageBreak/>
        <w:t>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расчетные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рассчитанные в соответствии с настоящей Методикой;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Д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расчетные доходы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ОЧГj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межбюджетный трансферт на сбалансированность для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в соответствии с настоящей Методикой на очередной финансовый год;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DA7B9E">
        <w:rPr>
          <w:rFonts w:ascii="Arial" w:hAnsi="Arial" w:cs="Arial"/>
          <w:sz w:val="20"/>
          <w:szCs w:val="20"/>
        </w:rPr>
        <w:t>С</w:t>
      </w:r>
      <w:r w:rsidRPr="00DA7B9E">
        <w:rPr>
          <w:rFonts w:ascii="Arial" w:hAnsi="Arial" w:cs="Arial"/>
          <w:sz w:val="20"/>
          <w:szCs w:val="20"/>
          <w:vertAlign w:val="subscript"/>
        </w:rPr>
        <w:t>ТГj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- межбюджетный трансферт на сбалансированность для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поселения, рассчитанный на текущий финансовый год.</w:t>
      </w:r>
    </w:p>
    <w:p w:rsidR="00486A93" w:rsidRPr="00DA7B9E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DA7B9E">
        <w:rPr>
          <w:rFonts w:ascii="Arial" w:hAnsi="Arial" w:cs="Arial"/>
          <w:sz w:val="20"/>
          <w:szCs w:val="20"/>
        </w:rPr>
        <w:t>7. В случае увеличения расходов бюджета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прочие затраты в соответствии с </w:t>
      </w:r>
      <w:hyperlink w:anchor="P8903">
        <w:r w:rsidRPr="00DA7B9E">
          <w:rPr>
            <w:rFonts w:ascii="Arial" w:hAnsi="Arial" w:cs="Arial"/>
            <w:color w:val="0000FF"/>
            <w:sz w:val="20"/>
            <w:szCs w:val="20"/>
          </w:rPr>
          <w:t>пунктом 6</w:t>
        </w:r>
      </w:hyperlink>
      <w:r w:rsidRPr="00DA7B9E">
        <w:rPr>
          <w:rFonts w:ascii="Arial" w:hAnsi="Arial" w:cs="Arial"/>
          <w:sz w:val="20"/>
          <w:szCs w:val="20"/>
        </w:rP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 w:rsidRPr="00DA7B9E">
        <w:rPr>
          <w:rFonts w:ascii="Arial" w:hAnsi="Arial" w:cs="Arial"/>
          <w:sz w:val="20"/>
          <w:szCs w:val="20"/>
        </w:rPr>
        <w:t>го</w:t>
      </w:r>
      <w:proofErr w:type="spellEnd"/>
      <w:r w:rsidRPr="00DA7B9E">
        <w:rPr>
          <w:rFonts w:ascii="Arial" w:hAnsi="Arial" w:cs="Arial"/>
          <w:sz w:val="20"/>
          <w:szCs w:val="20"/>
        </w:rPr>
        <w:t xml:space="preserve"> поселения на 2022 (2023, 2024) год, подлежит пересчету.</w:t>
      </w: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DA7B9E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DA7B9E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207C62"/>
    <w:rsid w:val="002F1A2E"/>
    <w:rsid w:val="003F7DA9"/>
    <w:rsid w:val="00486A93"/>
    <w:rsid w:val="005A260B"/>
    <w:rsid w:val="0064435F"/>
    <w:rsid w:val="00664D2B"/>
    <w:rsid w:val="007D31CD"/>
    <w:rsid w:val="00814A75"/>
    <w:rsid w:val="00995868"/>
    <w:rsid w:val="009C4E2B"/>
    <w:rsid w:val="00D33A1E"/>
    <w:rsid w:val="00D553F4"/>
    <w:rsid w:val="00DA7B9E"/>
    <w:rsid w:val="00EE0877"/>
    <w:rsid w:val="00F40CF9"/>
    <w:rsid w:val="00F4139D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hyperlink" Target="consultantplus://offline/ref=4548D0914AB8FBC65B3B5A3E9512C1C9D5F7B86FBE97714AA6FD011A431CB6C1C2C05A7667EDE8BEFAAE4B4DAAABCCH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4548D0914AB8FBC65B3B4433837E96C5D2FCE665B99E7F14F8A25A471415BC96978F5B3822E2F7BFF8B0484AA3EA39A70C3945AFF327ADB3760807AECAH" TargetMode="External"/><Relationship Id="rId25" Type="http://schemas.openxmlformats.org/officeDocument/2006/relationships/hyperlink" Target="consultantplus://offline/ref=4548D0914AB8FBC65B3B5A3E9512C1C9D5F4B86EBE99714AA6FD011A431CB6C1D0C0027A65ECFEBDF3E41809FDB369E1473546B3EF26ADAACFH" TargetMode="External"/><Relationship Id="rId33" Type="http://schemas.openxmlformats.org/officeDocument/2006/relationships/image" Target="media/image2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5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7.wmf"/><Relationship Id="rId32" Type="http://schemas.openxmlformats.org/officeDocument/2006/relationships/image" Target="media/image23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hyperlink" Target="consultantplus://offline/ref=4548D0914AB8FBC65B3B5A3E9512C1C9D5F7BA6DBF96714AA6FD011A431CB6C1C2C05A7667EDE8BEFAAE4B4DAAABCCH" TargetMode="External"/><Relationship Id="rId28" Type="http://schemas.openxmlformats.org/officeDocument/2006/relationships/image" Target="media/image19.wmf"/><Relationship Id="rId36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4548D0914AB8FBC65B3B4433837E96C5D2FCE665B99E7F14F8A25A471415BC96978F5B3822E2F7BFF8B0484AA3EA39A70C3945AFF327ADB3760807AECAH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hyperlink" Target="consultantplus://offline/ref=4548D0914AB8FBC65B3B5A3E9512C1C9D5F7BA6DBF96714AA6FD011A431CB6C1C2C05A7667EDE8BEFAAE4B4DAAABCCH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fontTable" Target="fontTable.xml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2010</Words>
  <Characters>11461</Characters>
  <Application>Microsoft Office Word</Application>
  <DocSecurity>0</DocSecurity>
  <Lines>95</Lines>
  <Paragraphs>26</Paragraphs>
  <ScaleCrop>false</ScaleCrop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2022-12-12T07:01:00Z</dcterms:created>
  <dcterms:modified xsi:type="dcterms:W3CDTF">2022-12-12T12:21:00Z</dcterms:modified>
</cp:coreProperties>
</file>