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C58" w:rsidRPr="001B5A27" w:rsidRDefault="005B5C58" w:rsidP="005B5C58">
      <w:pPr>
        <w:ind w:left="900"/>
        <w:jc w:val="right"/>
        <w:rPr>
          <w:sz w:val="26"/>
          <w:szCs w:val="26"/>
        </w:rPr>
      </w:pPr>
      <w:r w:rsidRPr="001B5A27">
        <w:rPr>
          <w:sz w:val="26"/>
          <w:szCs w:val="26"/>
        </w:rPr>
        <w:t>Приложение 8</w:t>
      </w:r>
    </w:p>
    <w:p w:rsidR="005B5C58" w:rsidRPr="001B5A27" w:rsidRDefault="005B5C58" w:rsidP="005B5C58">
      <w:pPr>
        <w:ind w:left="900"/>
        <w:jc w:val="right"/>
        <w:rPr>
          <w:sz w:val="26"/>
          <w:szCs w:val="26"/>
        </w:rPr>
      </w:pPr>
      <w:r w:rsidRPr="001B5A27">
        <w:rPr>
          <w:sz w:val="26"/>
          <w:szCs w:val="26"/>
        </w:rPr>
        <w:t>к решению Совета Заполярного района</w:t>
      </w:r>
    </w:p>
    <w:p w:rsidR="005B5C58" w:rsidRPr="001B5A27" w:rsidRDefault="005B5C58" w:rsidP="005B5C58">
      <w:pPr>
        <w:ind w:left="900"/>
        <w:jc w:val="right"/>
        <w:rPr>
          <w:sz w:val="26"/>
          <w:szCs w:val="26"/>
        </w:rPr>
      </w:pPr>
      <w:r w:rsidRPr="001B5A27">
        <w:rPr>
          <w:sz w:val="26"/>
          <w:szCs w:val="26"/>
        </w:rPr>
        <w:t xml:space="preserve">от </w:t>
      </w:r>
      <w:r>
        <w:rPr>
          <w:sz w:val="26"/>
          <w:szCs w:val="26"/>
        </w:rPr>
        <w:t>29</w:t>
      </w:r>
      <w:r w:rsidRPr="001B5A27">
        <w:rPr>
          <w:sz w:val="26"/>
          <w:szCs w:val="26"/>
        </w:rPr>
        <w:t xml:space="preserve"> </w:t>
      </w:r>
      <w:r>
        <w:rPr>
          <w:sz w:val="26"/>
          <w:szCs w:val="26"/>
        </w:rPr>
        <w:t>сентября</w:t>
      </w:r>
      <w:r w:rsidRPr="001B5A27">
        <w:rPr>
          <w:sz w:val="26"/>
          <w:szCs w:val="26"/>
        </w:rPr>
        <w:t xml:space="preserve"> 2022 года № </w:t>
      </w:r>
      <w:r>
        <w:rPr>
          <w:sz w:val="26"/>
          <w:szCs w:val="26"/>
        </w:rPr>
        <w:t>205</w:t>
      </w:r>
      <w:r w:rsidRPr="001B5A27">
        <w:rPr>
          <w:sz w:val="26"/>
          <w:szCs w:val="26"/>
        </w:rPr>
        <w:t>-р</w:t>
      </w:r>
    </w:p>
    <w:p w:rsidR="005B5C58" w:rsidRPr="001B5A27" w:rsidRDefault="005B5C58" w:rsidP="005B5C58">
      <w:pPr>
        <w:ind w:left="900"/>
        <w:jc w:val="right"/>
        <w:rPr>
          <w:sz w:val="26"/>
          <w:szCs w:val="26"/>
        </w:rPr>
      </w:pPr>
    </w:p>
    <w:p w:rsidR="005B5C58" w:rsidRPr="008455CA" w:rsidRDefault="005B5C58" w:rsidP="005B5C58">
      <w:pPr>
        <w:jc w:val="right"/>
        <w:rPr>
          <w:sz w:val="26"/>
          <w:szCs w:val="26"/>
        </w:rPr>
      </w:pPr>
      <w:r w:rsidRPr="001B5A27">
        <w:rPr>
          <w:sz w:val="26"/>
          <w:szCs w:val="26"/>
        </w:rPr>
        <w:t>«</w:t>
      </w:r>
      <w:r w:rsidRPr="008455CA">
        <w:rPr>
          <w:sz w:val="26"/>
          <w:szCs w:val="26"/>
        </w:rPr>
        <w:t xml:space="preserve">Приложение </w:t>
      </w:r>
      <w:r>
        <w:rPr>
          <w:sz w:val="26"/>
          <w:szCs w:val="26"/>
        </w:rPr>
        <w:t>11</w:t>
      </w:r>
    </w:p>
    <w:p w:rsidR="005B5C58" w:rsidRPr="008455CA" w:rsidRDefault="005B5C58" w:rsidP="005B5C58">
      <w:pPr>
        <w:jc w:val="right"/>
        <w:rPr>
          <w:sz w:val="26"/>
          <w:szCs w:val="26"/>
        </w:rPr>
      </w:pPr>
      <w:r w:rsidRPr="008455CA">
        <w:rPr>
          <w:sz w:val="26"/>
          <w:szCs w:val="26"/>
        </w:rPr>
        <w:t>к решению Совета Заполярного района</w:t>
      </w:r>
    </w:p>
    <w:p w:rsidR="005B5C58" w:rsidRDefault="005B5C58" w:rsidP="005B5C58">
      <w:pPr>
        <w:ind w:left="900"/>
        <w:jc w:val="right"/>
        <w:rPr>
          <w:sz w:val="26"/>
          <w:szCs w:val="26"/>
        </w:rPr>
      </w:pPr>
      <w:r w:rsidRPr="008455CA">
        <w:rPr>
          <w:sz w:val="26"/>
          <w:szCs w:val="26"/>
        </w:rPr>
        <w:t>от 22 декабря 2021 года № 161-р</w:t>
      </w:r>
    </w:p>
    <w:p w:rsidR="005B5C58" w:rsidRDefault="005B5C58" w:rsidP="005B5C58">
      <w:pPr>
        <w:ind w:left="900"/>
        <w:jc w:val="right"/>
        <w:rPr>
          <w:sz w:val="26"/>
          <w:szCs w:val="26"/>
        </w:rPr>
      </w:pPr>
    </w:p>
    <w:p w:rsidR="005B5C58" w:rsidRPr="00087321" w:rsidRDefault="005B5C58" w:rsidP="005B5C58">
      <w:pPr>
        <w:jc w:val="center"/>
      </w:pPr>
      <w:r w:rsidRPr="00087321">
        <w:rPr>
          <w:b/>
          <w:bCs/>
        </w:rPr>
        <w:t xml:space="preserve">Порядок определения размера муниципальной преференции, предоставляемой муниципальному предприятию Заполярного района </w:t>
      </w:r>
      <w:r>
        <w:rPr>
          <w:b/>
          <w:bCs/>
        </w:rPr>
        <w:t>«</w:t>
      </w:r>
      <w:r w:rsidRPr="00087321">
        <w:rPr>
          <w:b/>
          <w:bCs/>
        </w:rPr>
        <w:t>Севержилкомсервис</w:t>
      </w:r>
      <w:r>
        <w:rPr>
          <w:b/>
          <w:bCs/>
        </w:rPr>
        <w:t>»</w:t>
      </w:r>
      <w:r>
        <w:rPr>
          <w:b/>
          <w:bCs/>
        </w:rPr>
        <w:br/>
      </w:r>
      <w:r w:rsidRPr="00087321">
        <w:rPr>
          <w:b/>
          <w:bCs/>
        </w:rPr>
        <w:t>в 2022-2024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w:t>
      </w:r>
    </w:p>
    <w:p w:rsidR="005B5C58" w:rsidRDefault="005B5C58" w:rsidP="005B5C58">
      <w:pPr>
        <w:ind w:left="900"/>
        <w:jc w:val="right"/>
        <w:rPr>
          <w:sz w:val="26"/>
          <w:szCs w:val="26"/>
        </w:rPr>
      </w:pPr>
    </w:p>
    <w:p w:rsidR="005B5C58" w:rsidRPr="00087321" w:rsidRDefault="005B5C58" w:rsidP="005B5C58">
      <w:pPr>
        <w:ind w:firstLine="709"/>
        <w:jc w:val="both"/>
      </w:pPr>
      <w:r w:rsidRPr="00087321">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5B5C58" w:rsidRPr="00087321" w:rsidRDefault="005B5C58" w:rsidP="005B5C58">
      <w:pPr>
        <w:ind w:firstLine="709"/>
        <w:jc w:val="both"/>
      </w:pPr>
      <w:r w:rsidRPr="00087321">
        <w:t>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муниципальной программы «Обеспечение населения муниципального района «Заполярный район» чистой водой на 2021–2030 годы», муниципальной программы «Развитие энергетики муниципального района «Заполярный район» на 2021–2030 годы», муниципальной программы «Развитие коммунальной инфраструктуры муниципального района «Заполярный район» на 2020–2030 годы», муниципальной программы «Безопасность на территории муниципального района «Заполярный район» на 2019–2030 годы».</w:t>
      </w:r>
    </w:p>
    <w:p w:rsidR="005B5C58" w:rsidRDefault="005B5C58" w:rsidP="005B5C58">
      <w:pPr>
        <w:ind w:firstLine="709"/>
        <w:jc w:val="both"/>
      </w:pPr>
      <w:r w:rsidRPr="00087321">
        <w:t>3. Общий размер муниципальной преференции, предоставляемой предприятию, не может превышать: на 2022 год – 9</w:t>
      </w:r>
      <w:r>
        <w:t>5 481,8</w:t>
      </w:r>
      <w:r w:rsidRPr="00087321">
        <w:t> тыс. рублей, на 2023 год – 18 558,5 тыс. рублей.</w:t>
      </w:r>
    </w:p>
    <w:p w:rsidR="005B5C58" w:rsidRPr="00087321" w:rsidRDefault="005B5C58" w:rsidP="005B5C58">
      <w:pPr>
        <w:ind w:firstLine="709"/>
        <w:jc w:val="both"/>
      </w:pPr>
    </w:p>
    <w:tbl>
      <w:tblPr>
        <w:tblW w:w="9639" w:type="dxa"/>
        <w:tblLook w:val="04A0" w:firstRow="1" w:lastRow="0" w:firstColumn="1" w:lastColumn="0" w:noHBand="0" w:noVBand="1"/>
      </w:tblPr>
      <w:tblGrid>
        <w:gridCol w:w="640"/>
        <w:gridCol w:w="5597"/>
        <w:gridCol w:w="1134"/>
        <w:gridCol w:w="1134"/>
        <w:gridCol w:w="1134"/>
      </w:tblGrid>
      <w:tr w:rsidR="005B5C58" w:rsidTr="00D74E78">
        <w:trPr>
          <w:trHeight w:val="276"/>
        </w:trPr>
        <w:tc>
          <w:tcPr>
            <w:tcW w:w="640" w:type="dxa"/>
            <w:tcBorders>
              <w:top w:val="nil"/>
              <w:left w:val="nil"/>
              <w:bottom w:val="single" w:sz="4" w:space="0" w:color="auto"/>
              <w:right w:val="nil"/>
            </w:tcBorders>
            <w:shd w:val="clear" w:color="auto" w:fill="auto"/>
            <w:noWrap/>
            <w:vAlign w:val="bottom"/>
            <w:hideMark/>
          </w:tcPr>
          <w:p w:rsidR="005B5C58" w:rsidRDefault="005B5C58" w:rsidP="00D74E78">
            <w:pPr>
              <w:rPr>
                <w:sz w:val="20"/>
                <w:szCs w:val="20"/>
              </w:rPr>
            </w:pPr>
          </w:p>
        </w:tc>
        <w:tc>
          <w:tcPr>
            <w:tcW w:w="5597" w:type="dxa"/>
            <w:tcBorders>
              <w:top w:val="nil"/>
              <w:left w:val="nil"/>
              <w:bottom w:val="single" w:sz="4" w:space="0" w:color="auto"/>
              <w:right w:val="nil"/>
            </w:tcBorders>
            <w:shd w:val="clear" w:color="auto" w:fill="auto"/>
            <w:noWrap/>
            <w:vAlign w:val="bottom"/>
            <w:hideMark/>
          </w:tcPr>
          <w:p w:rsidR="005B5C58" w:rsidRDefault="005B5C58" w:rsidP="00D74E78">
            <w:pPr>
              <w:rPr>
                <w:sz w:val="20"/>
                <w:szCs w:val="20"/>
              </w:rPr>
            </w:pPr>
          </w:p>
        </w:tc>
        <w:tc>
          <w:tcPr>
            <w:tcW w:w="1134" w:type="dxa"/>
            <w:tcBorders>
              <w:top w:val="nil"/>
              <w:left w:val="nil"/>
              <w:bottom w:val="single" w:sz="4" w:space="0" w:color="auto"/>
              <w:right w:val="nil"/>
            </w:tcBorders>
            <w:shd w:val="clear" w:color="auto" w:fill="auto"/>
            <w:noWrap/>
            <w:vAlign w:val="bottom"/>
            <w:hideMark/>
          </w:tcPr>
          <w:p w:rsidR="005B5C58" w:rsidRDefault="005B5C58" w:rsidP="00D74E78">
            <w:pPr>
              <w:rPr>
                <w:sz w:val="20"/>
                <w:szCs w:val="20"/>
              </w:rPr>
            </w:pPr>
          </w:p>
        </w:tc>
        <w:tc>
          <w:tcPr>
            <w:tcW w:w="2268" w:type="dxa"/>
            <w:gridSpan w:val="2"/>
            <w:tcBorders>
              <w:top w:val="nil"/>
              <w:left w:val="nil"/>
              <w:bottom w:val="single" w:sz="4" w:space="0" w:color="auto"/>
              <w:right w:val="nil"/>
            </w:tcBorders>
            <w:shd w:val="clear" w:color="auto" w:fill="auto"/>
            <w:noWrap/>
            <w:vAlign w:val="bottom"/>
            <w:hideMark/>
          </w:tcPr>
          <w:p w:rsidR="005B5C58" w:rsidRDefault="005B5C58" w:rsidP="00D74E78">
            <w:pPr>
              <w:jc w:val="right"/>
              <w:rPr>
                <w:sz w:val="22"/>
                <w:szCs w:val="22"/>
              </w:rPr>
            </w:pPr>
            <w:r>
              <w:rPr>
                <w:sz w:val="22"/>
                <w:szCs w:val="22"/>
              </w:rPr>
              <w:t>тыс. рублей</w:t>
            </w:r>
          </w:p>
        </w:tc>
      </w:tr>
      <w:tr w:rsidR="005B5C58" w:rsidTr="00D74E78">
        <w:trPr>
          <w:trHeight w:val="55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 п/п</w:t>
            </w:r>
          </w:p>
        </w:tc>
        <w:tc>
          <w:tcPr>
            <w:tcW w:w="5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Наименование мероприятия</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 xml:space="preserve">Сумма </w:t>
            </w:r>
          </w:p>
        </w:tc>
      </w:tr>
      <w:tr w:rsidR="005B5C58" w:rsidTr="00D74E78">
        <w:trPr>
          <w:trHeight w:val="27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5B5C58" w:rsidRDefault="005B5C58" w:rsidP="00D74E78">
            <w:pPr>
              <w:rPr>
                <w:sz w:val="22"/>
                <w:szCs w:val="22"/>
              </w:rPr>
            </w:pPr>
          </w:p>
        </w:tc>
        <w:tc>
          <w:tcPr>
            <w:tcW w:w="5597" w:type="dxa"/>
            <w:vMerge/>
            <w:tcBorders>
              <w:top w:val="single" w:sz="4" w:space="0" w:color="auto"/>
              <w:left w:val="single" w:sz="4" w:space="0" w:color="auto"/>
              <w:bottom w:val="single" w:sz="4" w:space="0" w:color="auto"/>
              <w:right w:val="single" w:sz="4" w:space="0" w:color="auto"/>
            </w:tcBorders>
            <w:vAlign w:val="center"/>
            <w:hideMark/>
          </w:tcPr>
          <w:p w:rsidR="005B5C58" w:rsidRDefault="005B5C58" w:rsidP="00D74E78">
            <w:pPr>
              <w:rPr>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2022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2023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2024 год</w:t>
            </w:r>
          </w:p>
        </w:tc>
      </w:tr>
      <w:tr w:rsidR="005B5C58" w:rsidTr="00D74E78">
        <w:trPr>
          <w:cantSplit/>
          <w:trHeight w:val="20"/>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b/>
                <w:bCs/>
                <w:sz w:val="22"/>
                <w:szCs w:val="22"/>
              </w:rPr>
            </w:pPr>
            <w:r>
              <w:rPr>
                <w:b/>
                <w:bCs/>
                <w:sz w:val="22"/>
                <w:szCs w:val="22"/>
              </w:rPr>
              <w:t>Муниципальная подпрограмма «Обеспечение населения муниципального района «Заполярный район» чистой водой» на 2021-2030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25 388,4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7 621,6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1</w:t>
            </w:r>
          </w:p>
        </w:tc>
        <w:tc>
          <w:tcPr>
            <w:tcW w:w="5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Поставка, монтаж и пусконаладочные работы водоподготовительной установки в д. Верхняя Пеша Сельского поселения «Пешский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7 621,6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2</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Поставка, монтаж и пусконаладочные работы водоподготовительной установки в п. Варнек Сельского поселения «Юшарский сельсовет» ЗР НАО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24 177,2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5B5C58" w:rsidRDefault="005B5C58" w:rsidP="00D74E78">
            <w:pPr>
              <w:jc w:val="center"/>
              <w:rPr>
                <w:sz w:val="22"/>
                <w:szCs w:val="22"/>
              </w:rPr>
            </w:pPr>
            <w:r>
              <w:rPr>
                <w:sz w:val="22"/>
                <w:szCs w:val="22"/>
              </w:rPr>
              <w:t>3</w:t>
            </w:r>
          </w:p>
        </w:tc>
        <w:tc>
          <w:tcPr>
            <w:tcW w:w="5597" w:type="dxa"/>
            <w:tcBorders>
              <w:top w:val="single" w:sz="4" w:space="0" w:color="auto"/>
              <w:left w:val="nil"/>
              <w:bottom w:val="single" w:sz="4" w:space="0" w:color="auto"/>
              <w:right w:val="single" w:sz="4" w:space="0" w:color="auto"/>
            </w:tcBorders>
            <w:shd w:val="clear" w:color="auto" w:fill="auto"/>
            <w:vAlign w:val="center"/>
          </w:tcPr>
          <w:p w:rsidR="005B5C58" w:rsidRDefault="005B5C58" w:rsidP="00D74E78">
            <w:pPr>
              <w:rPr>
                <w:sz w:val="22"/>
                <w:szCs w:val="22"/>
              </w:rPr>
            </w:pPr>
            <w:r>
              <w:rPr>
                <w:sz w:val="22"/>
                <w:szCs w:val="22"/>
              </w:rPr>
              <w:t>Реконструкция водопроводных сетей в с. Коткино</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B5C58" w:rsidRPr="002A1F47" w:rsidRDefault="005B5C58" w:rsidP="00D74E78">
            <w:pPr>
              <w:jc w:val="right"/>
              <w:rPr>
                <w:iCs/>
                <w:sz w:val="22"/>
                <w:szCs w:val="22"/>
              </w:rPr>
            </w:pPr>
            <w:r w:rsidRPr="002A1F47">
              <w:rPr>
                <w:iCs/>
                <w:sz w:val="22"/>
                <w:szCs w:val="22"/>
              </w:rPr>
              <w:t xml:space="preserve"> 1 211,2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B5C58" w:rsidRDefault="005B5C58" w:rsidP="00D74E78">
            <w:pPr>
              <w:jc w:val="right"/>
              <w:rPr>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B5C58" w:rsidRDefault="005B5C58" w:rsidP="00D74E78">
            <w:pPr>
              <w:jc w:val="right"/>
              <w:rPr>
                <w:sz w:val="22"/>
                <w:szCs w:val="22"/>
              </w:rPr>
            </w:pPr>
          </w:p>
        </w:tc>
      </w:tr>
      <w:tr w:rsidR="005B5C58" w:rsidTr="00D74E78">
        <w:trPr>
          <w:cantSplit/>
          <w:trHeight w:val="20"/>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b/>
                <w:bCs/>
                <w:sz w:val="22"/>
                <w:szCs w:val="22"/>
              </w:rPr>
            </w:pPr>
            <w:r>
              <w:rPr>
                <w:b/>
                <w:bCs/>
                <w:sz w:val="22"/>
                <w:szCs w:val="22"/>
              </w:rPr>
              <w:t>Муниципальная подпрограмма «Развитие энергетики муниципального района «Заполярный район» на 2021-2030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52 162,1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lastRenderedPageBreak/>
              <w:t>1</w:t>
            </w:r>
          </w:p>
        </w:tc>
        <w:tc>
          <w:tcPr>
            <w:tcW w:w="55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5C58" w:rsidRDefault="005B5C58" w:rsidP="00D74E78">
            <w:pPr>
              <w:rPr>
                <w:sz w:val="22"/>
                <w:szCs w:val="22"/>
              </w:rPr>
            </w:pPr>
            <w:r>
              <w:rPr>
                <w:sz w:val="22"/>
                <w:szCs w:val="22"/>
              </w:rPr>
              <w:t>Приобретение и доставка резервуаров объёмом 50 куб. м в с. Шойна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16 434,0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2</w:t>
            </w:r>
          </w:p>
        </w:tc>
        <w:tc>
          <w:tcPr>
            <w:tcW w:w="5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Поставка дизель-генераторных установок АД-60 в количестве 2 единиц и АД-100 в количестве</w:t>
            </w:r>
            <w:r>
              <w:rPr>
                <w:sz w:val="22"/>
                <w:szCs w:val="22"/>
              </w:rPr>
              <w:br/>
              <w:t>2 единиц в п. Варнек</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3 983,2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3</w:t>
            </w:r>
          </w:p>
        </w:tc>
        <w:tc>
          <w:tcPr>
            <w:tcW w:w="5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Капитальный ремонт наружных сетей теплоснабжения, горячего и холодного водоснабжения в п. Амдерма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9 859,8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в том числе: окружной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9 366,8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районный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493,0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4</w:t>
            </w:r>
          </w:p>
        </w:tc>
        <w:tc>
          <w:tcPr>
            <w:tcW w:w="5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rPr>
                <w:color w:val="000000"/>
                <w:sz w:val="22"/>
                <w:szCs w:val="22"/>
              </w:rPr>
            </w:pPr>
            <w:r>
              <w:rPr>
                <w:color w:val="000000"/>
                <w:sz w:val="22"/>
                <w:szCs w:val="22"/>
              </w:rPr>
              <w:t>Капитальный ремонт ДЭС в с. Ома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sz w:val="22"/>
                <w:szCs w:val="22"/>
              </w:rPr>
            </w:pPr>
            <w:r w:rsidRPr="004E5845">
              <w:rPr>
                <w:sz w:val="22"/>
                <w:szCs w:val="22"/>
              </w:rPr>
              <w:t>10 910,7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в том числе: окружной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10 365,1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районный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545,6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5</w:t>
            </w:r>
          </w:p>
        </w:tc>
        <w:tc>
          <w:tcPr>
            <w:tcW w:w="5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rPr>
                <w:color w:val="000000"/>
                <w:sz w:val="22"/>
                <w:szCs w:val="22"/>
              </w:rPr>
            </w:pPr>
            <w:r>
              <w:rPr>
                <w:color w:val="000000"/>
                <w:sz w:val="22"/>
                <w:szCs w:val="22"/>
              </w:rPr>
              <w:t>Капитальный ремонт ЛЭП в д. Белушье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sz w:val="22"/>
                <w:szCs w:val="22"/>
              </w:rPr>
            </w:pPr>
            <w:r w:rsidRPr="004E5845">
              <w:rPr>
                <w:sz w:val="22"/>
                <w:szCs w:val="22"/>
              </w:rPr>
              <w:t>8 011,6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в том числе: окружной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7 611,0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районный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400,6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6</w:t>
            </w:r>
          </w:p>
        </w:tc>
        <w:tc>
          <w:tcPr>
            <w:tcW w:w="5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rPr>
                <w:color w:val="000000"/>
                <w:sz w:val="22"/>
                <w:szCs w:val="22"/>
              </w:rPr>
            </w:pPr>
            <w:r>
              <w:rPr>
                <w:color w:val="000000"/>
                <w:sz w:val="22"/>
                <w:szCs w:val="22"/>
              </w:rPr>
              <w:t>Капитальный ремонт котельной в п. Каратайка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sz w:val="22"/>
                <w:szCs w:val="22"/>
              </w:rPr>
            </w:pPr>
            <w:r w:rsidRPr="004E5845">
              <w:rPr>
                <w:sz w:val="22"/>
                <w:szCs w:val="22"/>
              </w:rPr>
              <w:t>2 962,8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в том числе: окружной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2 814,7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5B5C58" w:rsidRDefault="005B5C58" w:rsidP="00D74E78">
            <w:pPr>
              <w:jc w:val="center"/>
              <w:rPr>
                <w:sz w:val="22"/>
                <w:szCs w:val="22"/>
              </w:rPr>
            </w:pPr>
            <w:r>
              <w:rPr>
                <w:sz w:val="22"/>
                <w:szCs w:val="22"/>
              </w:rPr>
              <w:t> </w:t>
            </w:r>
          </w:p>
        </w:tc>
        <w:tc>
          <w:tcPr>
            <w:tcW w:w="5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5C58" w:rsidRDefault="005B5C58" w:rsidP="00D74E78">
            <w:pPr>
              <w:jc w:val="right"/>
              <w:rPr>
                <w:sz w:val="22"/>
                <w:szCs w:val="22"/>
              </w:rPr>
            </w:pPr>
            <w:r>
              <w:rPr>
                <w:sz w:val="22"/>
                <w:szCs w:val="22"/>
              </w:rPr>
              <w:t>районный бюджет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Pr="004E5845" w:rsidRDefault="005B5C58" w:rsidP="00D74E78">
            <w:pPr>
              <w:jc w:val="right"/>
              <w:rPr>
                <w:iCs/>
                <w:sz w:val="22"/>
                <w:szCs w:val="22"/>
              </w:rPr>
            </w:pPr>
            <w:r w:rsidRPr="004E5845">
              <w:rPr>
                <w:iCs/>
                <w:sz w:val="22"/>
                <w:szCs w:val="22"/>
              </w:rPr>
              <w:t>148,1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i/>
                <w:iCs/>
                <w:sz w:val="22"/>
                <w:szCs w:val="22"/>
              </w:rPr>
            </w:pPr>
            <w:r>
              <w:rPr>
                <w:i/>
                <w:iCs/>
                <w:sz w:val="22"/>
                <w:szCs w:val="22"/>
              </w:rPr>
              <w:t>-</w:t>
            </w:r>
          </w:p>
        </w:tc>
      </w:tr>
      <w:tr w:rsidR="005B5C58" w:rsidTr="00D74E78">
        <w:trPr>
          <w:cantSplit/>
          <w:trHeight w:val="20"/>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b/>
                <w:bCs/>
                <w:sz w:val="22"/>
                <w:szCs w:val="22"/>
              </w:rPr>
            </w:pPr>
            <w:r>
              <w:rPr>
                <w:b/>
                <w:bCs/>
                <w:sz w:val="22"/>
                <w:szCs w:val="22"/>
              </w:rPr>
              <w:t>Муниципальная подпрограмма «Развитие коммунальной инфраструктуры муниципального района «Заполярный район» на 2020-2030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17 931,3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1</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Поставка двух гусеничных тракторов Агромаш – 90ТГ 2647 (для ЖКУ «Ома»; ЖКУ «Коткино»)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10 333,0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2</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Поставка погрузчика универсального Амкодор 342С4 (для ЖКУ «Шойна»)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7 598,3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b/>
                <w:bCs/>
                <w:sz w:val="22"/>
                <w:szCs w:val="22"/>
              </w:rPr>
            </w:pPr>
            <w:r>
              <w:rPr>
                <w:b/>
                <w:bCs/>
                <w:sz w:val="22"/>
                <w:szCs w:val="22"/>
              </w:rPr>
              <w:t>Муниципальная подпрограмма «Безопасность на территории муниципального района «Заполярный район» на 2019-2030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10 936,9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1</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Ограждение объектов ТЭК ДЭС п. Нельмин-Нос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5 297,4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jc w:val="center"/>
              <w:rPr>
                <w:sz w:val="22"/>
                <w:szCs w:val="22"/>
              </w:rPr>
            </w:pPr>
            <w:r>
              <w:rPr>
                <w:sz w:val="22"/>
                <w:szCs w:val="22"/>
              </w:rPr>
              <w:t>2</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rPr>
                <w:sz w:val="22"/>
                <w:szCs w:val="22"/>
              </w:rPr>
            </w:pPr>
            <w:r>
              <w:rPr>
                <w:sz w:val="22"/>
                <w:szCs w:val="22"/>
              </w:rPr>
              <w:t>Ограждение объектов ТЭК ДЭС д. Андег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5 639,5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sz w:val="22"/>
                <w:szCs w:val="22"/>
              </w:rPr>
            </w:pPr>
            <w:r>
              <w:rPr>
                <w:sz w:val="22"/>
                <w:szCs w:val="22"/>
              </w:rPr>
              <w:t>-</w:t>
            </w:r>
          </w:p>
        </w:tc>
      </w:tr>
      <w:tr w:rsidR="005B5C58" w:rsidTr="00D74E78">
        <w:trPr>
          <w:cantSplit/>
          <w:trHeight w:val="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5C58" w:rsidRDefault="005B5C58" w:rsidP="00D74E78">
            <w:pPr>
              <w:rPr>
                <w:b/>
                <w:bCs/>
                <w:sz w:val="22"/>
                <w:szCs w:val="22"/>
              </w:rPr>
            </w:pPr>
            <w:r>
              <w:rPr>
                <w:b/>
                <w:bCs/>
                <w:sz w:val="22"/>
                <w:szCs w:val="22"/>
              </w:rPr>
              <w:t> </w:t>
            </w:r>
          </w:p>
        </w:tc>
        <w:tc>
          <w:tcPr>
            <w:tcW w:w="5597" w:type="dxa"/>
            <w:tcBorders>
              <w:top w:val="single" w:sz="4" w:space="0" w:color="auto"/>
              <w:left w:val="nil"/>
              <w:bottom w:val="single" w:sz="4" w:space="0" w:color="auto"/>
              <w:right w:val="single" w:sz="4" w:space="0" w:color="auto"/>
            </w:tcBorders>
            <w:shd w:val="clear" w:color="auto" w:fill="auto"/>
            <w:vAlign w:val="center"/>
            <w:hideMark/>
          </w:tcPr>
          <w:p w:rsidR="005B5C58" w:rsidRDefault="005B5C58" w:rsidP="00D74E78">
            <w:pPr>
              <w:rPr>
                <w:b/>
                <w:bCs/>
                <w:sz w:val="22"/>
                <w:szCs w:val="22"/>
              </w:rPr>
            </w:pPr>
            <w:r>
              <w:rPr>
                <w:b/>
                <w:bCs/>
                <w:sz w:val="22"/>
                <w:szCs w:val="22"/>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95 481,8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18 558,5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5C58" w:rsidRDefault="005B5C58" w:rsidP="00D74E78">
            <w:pPr>
              <w:jc w:val="right"/>
              <w:rPr>
                <w:b/>
                <w:bCs/>
                <w:sz w:val="22"/>
                <w:szCs w:val="22"/>
              </w:rPr>
            </w:pPr>
            <w:r>
              <w:rPr>
                <w:b/>
                <w:bCs/>
                <w:sz w:val="22"/>
                <w:szCs w:val="22"/>
              </w:rPr>
              <w:t>-</w:t>
            </w:r>
          </w:p>
        </w:tc>
      </w:tr>
    </w:tbl>
    <w:p w:rsidR="005B5C58" w:rsidRPr="001B5A27" w:rsidRDefault="005B5C58" w:rsidP="005B5C58">
      <w:pPr>
        <w:ind w:left="900"/>
        <w:jc w:val="right"/>
        <w:rPr>
          <w:sz w:val="26"/>
          <w:szCs w:val="26"/>
        </w:rPr>
      </w:pPr>
      <w:r w:rsidRPr="001B5A27">
        <w:rPr>
          <w:sz w:val="26"/>
          <w:szCs w:val="26"/>
        </w:rPr>
        <w:t>».</w:t>
      </w:r>
    </w:p>
    <w:p w:rsidR="002836C0" w:rsidRDefault="005B5C58">
      <w:bookmarkStart w:id="0" w:name="_GoBack"/>
      <w:bookmarkEnd w:id="0"/>
    </w:p>
    <w:sectPr w:rsidR="002836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C58"/>
    <w:rsid w:val="005B5C58"/>
    <w:rsid w:val="00AE40A4"/>
    <w:rsid w:val="00BB3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F1646B-D957-414E-830C-7C003C447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C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1</cp:revision>
  <dcterms:created xsi:type="dcterms:W3CDTF">2022-09-29T11:58:00Z</dcterms:created>
  <dcterms:modified xsi:type="dcterms:W3CDTF">2022-09-29T11:58:00Z</dcterms:modified>
</cp:coreProperties>
</file>