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774" w:rsidRDefault="00AC2265">
      <w:pPr>
        <w:pStyle w:val="13"/>
        <w:jc w:val="center"/>
        <w:rPr>
          <w:rFonts w:ascii="Times New Roman" w:hAnsi="Times New Roman"/>
          <w:b/>
          <w:sz w:val="28"/>
        </w:rPr>
      </w:pPr>
      <w:bookmarkStart w:id="0" w:name="_GoBack"/>
      <w:r>
        <w:rPr>
          <w:rFonts w:ascii="Times New Roman" w:hAnsi="Times New Roman"/>
          <w:b/>
          <w:sz w:val="28"/>
        </w:rPr>
        <w:t>Под председательством прокурора округа Дмитрия Горшкова состоялось расширенное заседание коллегии прокуратуры Ненецкого автономного округа</w:t>
      </w:r>
    </w:p>
    <w:bookmarkEnd w:id="0"/>
    <w:p w:rsidR="00156774" w:rsidRDefault="00156774">
      <w:pPr>
        <w:pStyle w:val="13"/>
        <w:jc w:val="both"/>
        <w:rPr>
          <w:rFonts w:ascii="Times New Roman" w:hAnsi="Times New Roman"/>
          <w:b/>
          <w:sz w:val="28"/>
        </w:rPr>
      </w:pPr>
    </w:p>
    <w:p w:rsidR="00156774" w:rsidRDefault="00AC2265">
      <w:pPr>
        <w:pStyle w:val="a5"/>
        <w:tabs>
          <w:tab w:val="left" w:pos="54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февраля под председательством прокурора Ненецкого автономного округа Дмитрия Горшкова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состоялось расширенное </w:t>
      </w:r>
      <w:r>
        <w:rPr>
          <w:rFonts w:ascii="Times New Roman" w:hAnsi="Times New Roman"/>
          <w:sz w:val="28"/>
        </w:rPr>
        <w:t>заседание коллегии прокуратуры округа, на которой подведены итоги работы в 2023 году и определены дальнейшие задачи по укреплению законности и правопорядка.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работе коллегии приняли участие руководители органов власти, правоохранительных органов, суда Нен</w:t>
      </w:r>
      <w:r>
        <w:rPr>
          <w:rFonts w:ascii="Times New Roman" w:hAnsi="Times New Roman"/>
          <w:sz w:val="28"/>
        </w:rPr>
        <w:t>ецкого автономного округа, а также оперативные работники прокуратуры округа.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коллегии отмечено, что в 2023 году прокуратурой округа проводилась целенаправленная работа, направленная на поддержание социально-экономической стабильности в регионе, обеспече</w:t>
      </w:r>
      <w:r>
        <w:rPr>
          <w:rFonts w:ascii="Times New Roman" w:hAnsi="Times New Roman"/>
          <w:sz w:val="28"/>
        </w:rPr>
        <w:t>ние конституционных прав граждан, интересов общества и государства, борьбу с преступностью. В условиях антироссийской санкционной политики и неблагоприятной экономической ситуации</w:t>
      </w:r>
      <w:r>
        <w:rPr>
          <w:rFonts w:ascii="Times New Roman" w:hAnsi="Times New Roman"/>
          <w:color w:val="993300"/>
          <w:sz w:val="28"/>
        </w:rPr>
        <w:t xml:space="preserve"> </w:t>
      </w:r>
      <w:r>
        <w:rPr>
          <w:rFonts w:ascii="Times New Roman" w:hAnsi="Times New Roman"/>
          <w:sz w:val="28"/>
        </w:rPr>
        <w:t>внимание прокуроров было направлено на решение задач по защите трудовых, жил</w:t>
      </w:r>
      <w:r>
        <w:rPr>
          <w:rFonts w:ascii="Times New Roman" w:hAnsi="Times New Roman"/>
          <w:sz w:val="28"/>
        </w:rPr>
        <w:t>ищных и иных социальных прав граждан, обеспечение законности в сферах экономики, предпринимательской деятельности.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Реализуя правозащитную функцию прокуратурой округа в суды направлено 302 исковых заявления на сумму более 6 млн руб. 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Значительное число мер </w:t>
      </w:r>
      <w:r>
        <w:rPr>
          <w:rFonts w:ascii="Times New Roman" w:hAnsi="Times New Roman"/>
          <w:sz w:val="28"/>
        </w:rPr>
        <w:t>прокурорского реагирования принято в связи с нарушениями прав граждан в жилищной сфере. Выявлялись нарушения закона и восстанавливались права граждан в сфере тарифного регулирования, содержания общедомового имущества, переселения из ветхого и аварийного жи</w:t>
      </w:r>
      <w:r>
        <w:rPr>
          <w:rFonts w:ascii="Times New Roman" w:hAnsi="Times New Roman"/>
          <w:sz w:val="28"/>
        </w:rPr>
        <w:t xml:space="preserve">лья, предоставления жилых помещений отдельным категориям граждан. На особом контроле находились вопросы своевременного начала отопительного периода. 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Принятые меры прокурорского реагирования позволили погасить задолженность по заработной плате на общую сум</w:t>
      </w:r>
      <w:r>
        <w:rPr>
          <w:rFonts w:ascii="Times New Roman" w:hAnsi="Times New Roman"/>
          <w:sz w:val="28"/>
        </w:rPr>
        <w:t xml:space="preserve">му более 17,3 млн. руб. перед 654 работниками. 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После вмешательства прокуратуры округа заказчиками погашена задолженность перед предпринимателями по исполненным контрактам на сумму свыше 82 млн руб. 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постоянном контроле находились вопросы соблюдения зак</w:t>
      </w:r>
      <w:r>
        <w:rPr>
          <w:rFonts w:ascii="Times New Roman" w:hAnsi="Times New Roman"/>
          <w:sz w:val="28"/>
        </w:rPr>
        <w:t>онодательства при реализации национальных проектов. По всем нарушениям закона приняты меры реагирования, в том числе возбуждены и расследуются 3 уголовных дела в данной сфере.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теряли своей актуальности вопросы соблюдения природоохранного законодательств</w:t>
      </w:r>
      <w:r>
        <w:rPr>
          <w:rFonts w:ascii="Times New Roman" w:hAnsi="Times New Roman"/>
          <w:sz w:val="28"/>
        </w:rPr>
        <w:t>а. Особое внимание уделено исполнению требований закона об отходах производства и потребления, по искам прокуратуры в 11 населенных пунктах созданы площадки для накопления твердых коммунальных отходов на срок до одиннадцати месяцев.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По инициативе прокурату</w:t>
      </w:r>
      <w:r>
        <w:rPr>
          <w:rFonts w:ascii="Times New Roman" w:hAnsi="Times New Roman"/>
          <w:sz w:val="28"/>
        </w:rPr>
        <w:t xml:space="preserve">ры установлены границы водоохранных зон и прибрежных защитных полос 22 водных объектов, в том числе на особо охраняемых природных территориях регионального значения. 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проверками соблюдения прав и интересов несовершеннолетних выявлено свыше 700 </w:t>
      </w:r>
      <w:r>
        <w:rPr>
          <w:rFonts w:ascii="Times New Roman" w:hAnsi="Times New Roman"/>
          <w:sz w:val="28"/>
        </w:rPr>
        <w:t>нарушений закона в сферах образования, охраны жизни и здоровья несовершеннолетних, реализации прав семей, имеющих детей, на получение государственных мер социальной поддержки, в том числе участников специальной военной операции.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постановлениям прокурора</w:t>
      </w:r>
      <w:r>
        <w:rPr>
          <w:rFonts w:ascii="Times New Roman" w:hAnsi="Times New Roman"/>
          <w:sz w:val="28"/>
        </w:rPr>
        <w:t xml:space="preserve"> за совершение административных правонарушений в сфере коррупции на должностных и юридических лиц наложены штрафы на сумму свыше 21 млн рублей. По инициативе прокуратуры наложен арест на имущество стоимостью свыше 30 млн рублей.</w:t>
      </w:r>
    </w:p>
    <w:p w:rsidR="00156774" w:rsidRDefault="00AC2265">
      <w:pPr>
        <w:pStyle w:val="15"/>
        <w:spacing w:before="0" w:line="240" w:lineRule="auto"/>
        <w:ind w:right="-22" w:firstLine="700"/>
        <w:rPr>
          <w:sz w:val="28"/>
        </w:rPr>
      </w:pPr>
      <w:r>
        <w:rPr>
          <w:sz w:val="28"/>
        </w:rPr>
        <w:t>Активно пресекались факты р</w:t>
      </w:r>
      <w:r>
        <w:rPr>
          <w:sz w:val="28"/>
        </w:rPr>
        <w:t>аспространения в сети Интернет информационных материалов, направленных на дискредитацию Вооруженных сил Российской Федерации,</w:t>
      </w:r>
      <w:r>
        <w:t xml:space="preserve"> </w:t>
      </w:r>
      <w:r>
        <w:rPr>
          <w:sz w:val="28"/>
        </w:rPr>
        <w:t xml:space="preserve">блокировались материалы экстремистского содержания, лица их распространяющие привлекались к административной ответственности. </w:t>
      </w:r>
    </w:p>
    <w:p w:rsidR="00156774" w:rsidRDefault="00AC226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Бла</w:t>
      </w:r>
      <w:r>
        <w:rPr>
          <w:rFonts w:ascii="Times New Roman" w:hAnsi="Times New Roman"/>
          <w:sz w:val="28"/>
        </w:rPr>
        <w:t>годаря мерам координационного характера и межведомственного взаимодействия пресечены факты фиктивной регистрации в округе жителей других регионов в целях незаконного получения социальных выплат.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досудебной стадии уголовного судопроизводства выявлено свы</w:t>
      </w:r>
      <w:r>
        <w:rPr>
          <w:rFonts w:ascii="Times New Roman" w:hAnsi="Times New Roman"/>
          <w:sz w:val="28"/>
        </w:rPr>
        <w:t xml:space="preserve">ше 1400 нарушений. В целях их устранения внесено 27 представлений и информаций, направлено 222 требования, отменено 591 незаконное процессуальное решение. По инициативе прокурора на учет поставлено 84 ранее известных, но по различным причинам не учтенных, </w:t>
      </w:r>
      <w:r>
        <w:rPr>
          <w:rFonts w:ascii="Times New Roman" w:hAnsi="Times New Roman"/>
          <w:sz w:val="28"/>
        </w:rPr>
        <w:t>преступлений.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Разрешено более 1300 обращений, поступивших в прокуратуру округа.</w:t>
      </w:r>
    </w:p>
    <w:p w:rsidR="00156774" w:rsidRDefault="00AC22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итогам заседания коллегии определены задачи, а также комплекс мер, направленных на повышение эффективности прокурорского надзора в регионе. </w:t>
      </w:r>
    </w:p>
    <w:sectPr w:rsidR="00156774">
      <w:headerReference w:type="default" r:id="rId6"/>
      <w:pgSz w:w="11906" w:h="16838"/>
      <w:pgMar w:top="899" w:right="850" w:bottom="1135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C2265">
      <w:pPr>
        <w:spacing w:after="0" w:line="240" w:lineRule="auto"/>
      </w:pPr>
      <w:r>
        <w:separator/>
      </w:r>
    </w:p>
  </w:endnote>
  <w:endnote w:type="continuationSeparator" w:id="0">
    <w:p w:rsidR="00000000" w:rsidRDefault="00AC2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C2265">
      <w:pPr>
        <w:spacing w:after="0" w:line="240" w:lineRule="auto"/>
      </w:pPr>
      <w:r>
        <w:separator/>
      </w:r>
    </w:p>
  </w:footnote>
  <w:footnote w:type="continuationSeparator" w:id="0">
    <w:p w:rsidR="00000000" w:rsidRDefault="00AC2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774" w:rsidRDefault="00AC2265">
    <w:pPr>
      <w:framePr w:wrap="around" w:vAnchor="text" w:hAnchor="margin" w:xAlign="center" w:y="1"/>
    </w:pPr>
    <w:r>
      <w:rPr>
        <w:rStyle w:val="a7"/>
      </w:rPr>
      <w:fldChar w:fldCharType="begin"/>
    </w:r>
    <w:r>
      <w:rPr>
        <w:rStyle w:val="a7"/>
      </w:rPr>
      <w:instrText xml:space="preserve">PAGE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56774" w:rsidRDefault="001567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774"/>
    <w:rsid w:val="00156774"/>
    <w:rsid w:val="00AC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44C3AC-0A1D-44F5-B033-704E6EBB9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Calibri" w:hAnsi="Calibri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No Spacing"/>
    <w:link w:val="a6"/>
    <w:pPr>
      <w:widowControl w:val="0"/>
    </w:pPr>
    <w:rPr>
      <w:rFonts w:ascii="Courier New" w:hAnsi="Courier New"/>
    </w:rPr>
  </w:style>
  <w:style w:type="character" w:customStyle="1" w:styleId="12">
    <w:name w:val="Без интервала1"/>
    <w:rPr>
      <w:rFonts w:ascii="Calibri" w:hAnsi="Calibri"/>
      <w:sz w:val="22"/>
    </w:rPr>
  </w:style>
  <w:style w:type="paragraph" w:customStyle="1" w:styleId="13">
    <w:name w:val="Без интервала1"/>
    <w:link w:val="14"/>
    <w:rPr>
      <w:rFonts w:ascii="Calibri" w:hAnsi="Calibri"/>
      <w:sz w:val="22"/>
    </w:rPr>
  </w:style>
  <w:style w:type="character" w:customStyle="1" w:styleId="14">
    <w:name w:val="Без интервала1"/>
    <w:link w:val="13"/>
    <w:rPr>
      <w:rFonts w:ascii="Calibri" w:hAnsi="Calibri"/>
      <w:sz w:val="22"/>
    </w:rPr>
  </w:style>
  <w:style w:type="character" w:customStyle="1" w:styleId="a6">
    <w:name w:val="Без интервала Знак"/>
    <w:link w:val="a5"/>
    <w:rPr>
      <w:rFonts w:ascii="Courier New" w:hAnsi="Courier New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Основной текст1"/>
    <w:basedOn w:val="a"/>
    <w:link w:val="16"/>
    <w:pPr>
      <w:spacing w:before="240" w:after="0" w:line="312" w:lineRule="exact"/>
      <w:jc w:val="both"/>
    </w:pPr>
    <w:rPr>
      <w:rFonts w:ascii="Times New Roman" w:hAnsi="Times New Roman"/>
      <w:sz w:val="26"/>
      <w:highlight w:val="white"/>
    </w:rPr>
  </w:style>
  <w:style w:type="character" w:customStyle="1" w:styleId="16">
    <w:name w:val="Основной текст1"/>
    <w:basedOn w:val="1"/>
    <w:link w:val="15"/>
    <w:rPr>
      <w:rFonts w:ascii="Times New Roman" w:hAnsi="Times New Roman"/>
      <w:sz w:val="26"/>
      <w:highlight w:val="whit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7">
    <w:name w:val="Номер страницы1"/>
    <w:basedOn w:val="18"/>
    <w:link w:val="a7"/>
  </w:style>
  <w:style w:type="character" w:styleId="a7">
    <w:name w:val="page number"/>
    <w:basedOn w:val="a0"/>
    <w:link w:val="17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9">
    <w:name w:val="Гиперссылка1"/>
    <w:link w:val="a8"/>
    <w:rPr>
      <w:color w:val="0000FF"/>
      <w:u w:val="single"/>
    </w:rPr>
  </w:style>
  <w:style w:type="character" w:styleId="a8">
    <w:name w:val="Hyperlink"/>
    <w:link w:val="1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Body Text Indent"/>
    <w:basedOn w:val="a"/>
    <w:link w:val="ac"/>
    <w:pPr>
      <w:spacing w:after="120"/>
      <w:ind w:left="283"/>
    </w:pPr>
  </w:style>
  <w:style w:type="character" w:customStyle="1" w:styleId="ac">
    <w:name w:val="Основной текст с отступом Знак"/>
    <w:basedOn w:val="1"/>
    <w:link w:val="ab"/>
    <w:rPr>
      <w:rFonts w:ascii="Calibri" w:hAnsi="Calibri"/>
      <w:sz w:val="22"/>
    </w:rPr>
  </w:style>
  <w:style w:type="paragraph" w:customStyle="1" w:styleId="18">
    <w:name w:val="Основной шрифт абзаца1"/>
    <w:link w:val="ad"/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Заголовок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2024-02-05T06:54:00Z</dcterms:created>
  <dcterms:modified xsi:type="dcterms:W3CDTF">2024-02-05T06:54:00Z</dcterms:modified>
</cp:coreProperties>
</file>