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872854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57517" w:rsidRPr="00872854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257517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872854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2019-2030</w:t>
      </w:r>
      <w:r w:rsidR="00257517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  <w:r w:rsidR="00F3433D" w:rsidRPr="00872854">
        <w:rPr>
          <w:sz w:val="26"/>
          <w:szCs w:val="26"/>
        </w:rPr>
        <w:t xml:space="preserve"> </w:t>
      </w:r>
      <w:r w:rsidR="003A0EF8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</w:t>
      </w:r>
      <w:r w:rsidR="00F3433D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F144AB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2022</w:t>
      </w:r>
      <w:r w:rsidR="000918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311609" w:rsidRPr="00872854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1609" w:rsidRPr="00872854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  <w:r w:rsidR="00FC7FAF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2019-2030</w:t>
      </w:r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14.09.2018 №  177п</w:t>
      </w: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872854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</w:t>
      </w:r>
      <w:r w:rsidR="00F144AB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</w:t>
      </w: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872854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обеспечение безопасности на водных объектах;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 создание резервов материальных ресурсов;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311609" w:rsidRPr="00872854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872854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обучения населения способам и действиям в экстремальных ситуациях;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профилактической и информационно-пропагандистской работы;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предотвращения гибели людей на водных объектах;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приобретение резерва материально-технических средств, создание условий для хранения, использования и восполнения резервов материальных ресурсов;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предупреждение чрезвычайных ситуаций и ликвидация их последствий, которые могут привести к гибели или </w:t>
      </w:r>
      <w:proofErr w:type="spellStart"/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травмированию</w:t>
      </w:r>
      <w:proofErr w:type="spellEnd"/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населения, нарушению функционирования систем жизнеобеспечения населения;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антитеррористической защищенности мест массового пребывания людей, социально-значимых объектов и объектов жизнеобеспечения населения;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функционирования системы профилактики правонарушений на территории городского и сельских поселений Заполярного района.</w:t>
      </w:r>
    </w:p>
    <w:p w:rsidR="00BA7039" w:rsidRPr="00872854" w:rsidRDefault="00F144AB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72854">
        <w:rPr>
          <w:rFonts w:ascii="Times New Roman" w:hAnsi="Times New Roman" w:cs="Times New Roman"/>
          <w:sz w:val="26"/>
          <w:szCs w:val="26"/>
        </w:rPr>
        <w:lastRenderedPageBreak/>
        <w:t>На 2022</w:t>
      </w:r>
      <w:r w:rsidR="00BA7039" w:rsidRPr="00872854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872854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872854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091842">
        <w:rPr>
          <w:rFonts w:ascii="Times New Roman" w:hAnsi="Times New Roman" w:cs="Times New Roman"/>
          <w:sz w:val="26"/>
          <w:szCs w:val="26"/>
        </w:rPr>
        <w:t>35</w:t>
      </w:r>
      <w:r w:rsidR="00F3096E">
        <w:rPr>
          <w:rFonts w:ascii="Times New Roman" w:hAnsi="Times New Roman" w:cs="Times New Roman"/>
          <w:sz w:val="26"/>
          <w:szCs w:val="26"/>
        </w:rPr>
        <w:t xml:space="preserve"> </w:t>
      </w:r>
      <w:r w:rsidR="00091842">
        <w:rPr>
          <w:rFonts w:ascii="Times New Roman" w:hAnsi="Times New Roman" w:cs="Times New Roman"/>
          <w:sz w:val="26"/>
          <w:szCs w:val="26"/>
        </w:rPr>
        <w:t>601,1</w:t>
      </w:r>
      <w:r w:rsidR="008654CE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72854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72854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 </w:t>
      </w:r>
    </w:p>
    <w:p w:rsidR="00BA7039" w:rsidRPr="00872854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72854">
        <w:rPr>
          <w:rFonts w:ascii="Times New Roman" w:hAnsi="Times New Roman" w:cs="Times New Roman"/>
          <w:sz w:val="26"/>
          <w:szCs w:val="26"/>
        </w:rPr>
        <w:t>Ка</w:t>
      </w:r>
      <w:r w:rsidR="00BB7A78" w:rsidRPr="00872854">
        <w:rPr>
          <w:rFonts w:ascii="Times New Roman" w:hAnsi="Times New Roman" w:cs="Times New Roman"/>
          <w:sz w:val="26"/>
          <w:szCs w:val="26"/>
        </w:rPr>
        <w:t>ссовое исполнение составило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 </w:t>
      </w:r>
      <w:r w:rsidR="00D102DE">
        <w:rPr>
          <w:rFonts w:ascii="Times New Roman" w:hAnsi="Times New Roman" w:cs="Times New Roman"/>
          <w:sz w:val="26"/>
          <w:szCs w:val="26"/>
        </w:rPr>
        <w:t>31 345,2</w:t>
      </w:r>
      <w:r w:rsidR="008654CE">
        <w:rPr>
          <w:rFonts w:ascii="Times New Roman" w:hAnsi="Times New Roman" w:cs="Times New Roman"/>
          <w:sz w:val="26"/>
          <w:szCs w:val="26"/>
        </w:rPr>
        <w:t xml:space="preserve"> </w:t>
      </w:r>
      <w:r w:rsidR="00BA7039" w:rsidRPr="00872854">
        <w:rPr>
          <w:rFonts w:ascii="Times New Roman" w:hAnsi="Times New Roman" w:cs="Times New Roman"/>
          <w:sz w:val="26"/>
          <w:szCs w:val="26"/>
        </w:rPr>
        <w:t>тыс. рублей, за счет средств райо</w:t>
      </w:r>
      <w:r w:rsidRPr="00872854"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 w:rsidRPr="00872854">
        <w:rPr>
          <w:rFonts w:ascii="Times New Roman" w:hAnsi="Times New Roman" w:cs="Times New Roman"/>
          <w:sz w:val="26"/>
          <w:szCs w:val="26"/>
        </w:rPr>
        <w:t>ля</w:t>
      </w:r>
      <w:r w:rsidR="009E692F" w:rsidRPr="00872854">
        <w:rPr>
          <w:rFonts w:ascii="Times New Roman" w:hAnsi="Times New Roman" w:cs="Times New Roman"/>
          <w:sz w:val="26"/>
          <w:szCs w:val="26"/>
        </w:rPr>
        <w:t xml:space="preserve">ет </w:t>
      </w:r>
      <w:r w:rsidR="00E4776F">
        <w:rPr>
          <w:rFonts w:ascii="Times New Roman" w:hAnsi="Times New Roman" w:cs="Times New Roman"/>
          <w:sz w:val="26"/>
          <w:szCs w:val="26"/>
        </w:rPr>
        <w:t>88,0</w:t>
      </w:r>
      <w:r w:rsidRPr="00872854">
        <w:rPr>
          <w:rFonts w:ascii="Times New Roman" w:hAnsi="Times New Roman" w:cs="Times New Roman"/>
          <w:sz w:val="26"/>
          <w:szCs w:val="26"/>
        </w:rPr>
        <w:t xml:space="preserve"> % от плана на </w:t>
      </w:r>
      <w:r w:rsidR="009E692F" w:rsidRPr="00872854">
        <w:rPr>
          <w:rFonts w:ascii="Times New Roman" w:hAnsi="Times New Roman" w:cs="Times New Roman"/>
          <w:sz w:val="26"/>
          <w:szCs w:val="26"/>
        </w:rPr>
        <w:t>202</w:t>
      </w:r>
      <w:r w:rsidR="00C855A8" w:rsidRPr="00872854">
        <w:rPr>
          <w:rFonts w:ascii="Times New Roman" w:hAnsi="Times New Roman" w:cs="Times New Roman"/>
          <w:sz w:val="26"/>
          <w:szCs w:val="26"/>
        </w:rPr>
        <w:t>2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 год</w:t>
      </w:r>
      <w:r w:rsidR="00BA7039" w:rsidRPr="00872854">
        <w:rPr>
          <w:rFonts w:ascii="Times New Roman" w:hAnsi="Times New Roman" w:cs="Times New Roman"/>
          <w:sz w:val="26"/>
          <w:szCs w:val="26"/>
        </w:rPr>
        <w:t>.</w:t>
      </w:r>
    </w:p>
    <w:p w:rsidR="00F3433D" w:rsidRPr="004F2D5B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4F2D5B" w:rsidRPr="00240939" w:rsidTr="00BA7039">
        <w:tc>
          <w:tcPr>
            <w:tcW w:w="476" w:type="dxa"/>
          </w:tcPr>
          <w:p w:rsidR="00EF68B5" w:rsidRPr="002409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2409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2409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4F2D5B" w:rsidRPr="00240939" w:rsidTr="00BA7039">
        <w:tc>
          <w:tcPr>
            <w:tcW w:w="476" w:type="dxa"/>
          </w:tcPr>
          <w:p w:rsidR="00BA7039" w:rsidRPr="009E5D6D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A7039" w:rsidRPr="009E5D6D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BA7039" w:rsidRPr="009E5D6D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</w:t>
            </w:r>
          </w:p>
        </w:tc>
        <w:tc>
          <w:tcPr>
            <w:tcW w:w="6612" w:type="dxa"/>
            <w:shd w:val="clear" w:color="auto" w:fill="auto"/>
          </w:tcPr>
          <w:p w:rsidR="00983EC9" w:rsidRPr="009E5D6D" w:rsidRDefault="00C855A8" w:rsidP="008654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Кассовое и </w:t>
            </w:r>
            <w:r w:rsidR="00F541B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фактическое освоение составило </w:t>
            </w:r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441,8</w:t>
            </w:r>
            <w:r w:rsidR="008654CE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рублей. </w:t>
            </w:r>
            <w:r w:rsidR="00F541B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Планом на отчетный период предусмотрено </w:t>
            </w:r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465,4</w:t>
            </w:r>
            <w:r w:rsidR="008654CE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  <w:r w:rsidR="00F541B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– 94,9</w:t>
            </w:r>
            <w:r w:rsidR="00F541B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%.</w:t>
            </w:r>
          </w:p>
          <w:p w:rsidR="00BA7039" w:rsidRPr="009E5D6D" w:rsidRDefault="00D14FEF" w:rsidP="002A5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Не освоение 23,6</w:t>
            </w:r>
            <w:r w:rsidR="008654CE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том числе СП «</w:t>
            </w:r>
            <w:proofErr w:type="spellStart"/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Приморско-Куйский</w:t>
            </w:r>
            <w:proofErr w:type="spellEnd"/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ЗР НАО – 23,5 тыс. рублей,  СП «Хорей-</w:t>
            </w:r>
            <w:proofErr w:type="spellStart"/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Верский</w:t>
            </w:r>
            <w:proofErr w:type="spellEnd"/>
            <w:r w:rsidR="00E4776F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ЗР НАО – 0,1 тыс. рублей)</w:t>
            </w:r>
            <w:r w:rsidR="008654CE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связано </w:t>
            </w:r>
            <w:r w:rsidR="002A5EA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с образованием экономии при заключении договоров на обучение.</w:t>
            </w:r>
          </w:p>
        </w:tc>
      </w:tr>
      <w:tr w:rsidR="008654CE" w:rsidRPr="00240939" w:rsidTr="00BA7039">
        <w:tc>
          <w:tcPr>
            <w:tcW w:w="476" w:type="dxa"/>
          </w:tcPr>
          <w:p w:rsidR="008654CE" w:rsidRPr="009E5D6D" w:rsidRDefault="00A14023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654CE" w:rsidRPr="009E5D6D" w:rsidRDefault="008654CE" w:rsidP="0077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Организация мест массового отдыха (пляжи) населения на водных объектах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654CE" w:rsidRPr="009E5D6D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</w:t>
            </w:r>
            <w:r w:rsidR="002A5EA1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01-15-22/22 от 21.03.2022 с 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Слезкина</w:t>
            </w:r>
            <w:proofErr w:type="spellEnd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Е.О. Срок исполнения 18.08.2022. Стоимость работ 926 825,0 рублей. </w:t>
            </w:r>
            <w:r w:rsidR="008654CE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– 100%.</w:t>
            </w:r>
          </w:p>
        </w:tc>
      </w:tr>
      <w:tr w:rsidR="008654CE" w:rsidRPr="00240939" w:rsidTr="00BA7039">
        <w:tc>
          <w:tcPr>
            <w:tcW w:w="476" w:type="dxa"/>
          </w:tcPr>
          <w:p w:rsidR="008654CE" w:rsidRPr="009E5D6D" w:rsidRDefault="00A14023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654CE" w:rsidRPr="009E5D6D" w:rsidRDefault="008654CE" w:rsidP="0077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и монтаж мостового перехода из сборных модульных понтонов через протоку </w:t>
            </w:r>
            <w:proofErr w:type="spellStart"/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Макаровская</w:t>
            </w:r>
            <w:proofErr w:type="spellEnd"/>
            <w:r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Курья в д. </w:t>
            </w:r>
            <w:proofErr w:type="spellStart"/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Макарово</w:t>
            </w:r>
            <w:proofErr w:type="spellEnd"/>
            <w:r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</w:t>
            </w:r>
            <w:proofErr w:type="spellStart"/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Тельвисочный</w:t>
            </w:r>
            <w:proofErr w:type="spellEnd"/>
            <w:r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654CE" w:rsidRPr="009E5D6D" w:rsidRDefault="008654CE" w:rsidP="002A5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мероприятий предусмотрено финансирование в отчетном периоде </w:t>
            </w:r>
            <w:r w:rsidR="009210E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01D7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10E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272,7 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Кассовое и фактическое освоение составило </w:t>
            </w:r>
            <w:r w:rsidR="009210E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2272,6 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  <w:r w:rsidR="009210E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– 99,9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  <w:r w:rsidR="009210E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428E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 муниципальный контракт № 0184300000422000078  от 11.05.2022</w:t>
            </w:r>
            <w:r w:rsidR="00B101D7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ООО "АВТОМАРКЕТ"</w:t>
            </w:r>
            <w:r w:rsidR="00F9428E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9210E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428E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2 272 600,00 рублей.</w:t>
            </w:r>
            <w:r w:rsidR="00B101D7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 выполнения работ 30.09.2022.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резерва материальных ресурсов в соответствии с утвержденной номенклатурой для предупреждения и ликвидации ЧС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9E5D6D" w:rsidRDefault="00983EC9" w:rsidP="002A5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Кассовое и фак</w:t>
            </w:r>
            <w:r w:rsidR="002A5EA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тическое освоение составило 2452,2</w:t>
            </w: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 Планом на от</w:t>
            </w:r>
            <w:r w:rsidR="002A5EA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четный период предусмотрено 2454,5</w:t>
            </w: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 </w:t>
            </w:r>
            <w:r w:rsidR="002A5EA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Не о</w:t>
            </w: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своение </w:t>
            </w:r>
            <w:r w:rsidR="002A5EA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2,3 тыс</w:t>
            </w: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A5EA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 связано</w:t>
            </w:r>
            <w:r w:rsidR="002A5EA1" w:rsidRPr="009E5D6D">
              <w:t xml:space="preserve"> </w:t>
            </w:r>
            <w:r w:rsidR="002A5EA1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с образованием экономии при заключении договоров поставки материальных средств.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ЧС в границах поселений муниципальных образований</w:t>
            </w:r>
          </w:p>
          <w:p w:rsidR="00983EC9" w:rsidRPr="009E5D6D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9E5D6D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фин</w:t>
            </w:r>
            <w:r w:rsidR="002A5EA1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ансирование в отчетном периоде 7 607,5 тыс. руб. На 31.12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 кассовое и фактическое и</w:t>
            </w:r>
            <w:r w:rsidR="002A5EA1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сполнение за отчетный период – </w:t>
            </w:r>
            <w:r w:rsidR="00D353BD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7 279,</w:t>
            </w:r>
            <w:r w:rsidR="00D10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5EA1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Не освоение</w:t>
            </w:r>
            <w:r w:rsidR="00D353BD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328,4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рублей:</w:t>
            </w:r>
          </w:p>
          <w:p w:rsidR="00F10FF2" w:rsidRPr="009E5D6D" w:rsidRDefault="002A5EA1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освоение </w:t>
            </w:r>
            <w:r w:rsidR="00F10FF2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 тыс. рублей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Карский</w:t>
            </w:r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" ЗР НАО (0,1 тыс. рублей), Сельское поселение "</w:t>
            </w:r>
            <w:proofErr w:type="spellStart"/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откинский</w:t>
            </w:r>
            <w:proofErr w:type="spellEnd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(0,7</w:t>
            </w:r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рублей), Сельское поселение "</w:t>
            </w:r>
            <w:proofErr w:type="spellStart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Малоземельский</w:t>
            </w:r>
            <w:proofErr w:type="spellEnd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(0,6</w:t>
            </w:r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рублей), Сельское поселение "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Тиманский сельсовет" ЗР НАО (2,6</w:t>
            </w:r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рублей), Сельское поселени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"Шоинский сельсовет" ЗР НАО (2,3</w:t>
            </w:r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рублей), Сельское поселение "Поселок </w:t>
            </w:r>
            <w:proofErr w:type="spellStart"/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Амдерма</w:t>
            </w:r>
            <w:proofErr w:type="spellEnd"/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ЗР НАО </w:t>
            </w:r>
            <w:r w:rsidR="00F10FF2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(1,9 тыс. рублей) связано с образованием экономии при заключении договоров поставки материальных средств  и проведении работ для предупреждения возможных ЧС.</w:t>
            </w:r>
          </w:p>
          <w:p w:rsidR="00983EC9" w:rsidRPr="009E5D6D" w:rsidRDefault="00F10FF2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освоение 320,2 тыс. рублей (Сельское поселение "Хорей-</w:t>
            </w:r>
            <w:proofErr w:type="spellStart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Верский</w:t>
            </w:r>
            <w:proofErr w:type="spellEnd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(113,8 тыс. рублей), Сельское поселение "</w:t>
            </w:r>
            <w:proofErr w:type="spellStart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Хоседа-Хардский</w:t>
            </w:r>
            <w:proofErr w:type="spellEnd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(87,7 тыс. рублей, Сельское поселение "</w:t>
            </w:r>
            <w:proofErr w:type="spellStart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Юшарский</w:t>
            </w:r>
            <w:proofErr w:type="spellEnd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(118,7 тыс. рублей) связано</w:t>
            </w:r>
            <w:r w:rsidR="00D353BD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отсутствием необходимости использования средств в целях проведения превентивных </w:t>
            </w:r>
            <w:r w:rsidR="00D353BD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недопущению возникновения ЧС, а также на мероприятия по ликвидации ЧС. Расходы осуществлялись по факту необходимости и фактической потребности.</w:t>
            </w:r>
          </w:p>
          <w:p w:rsidR="00983EC9" w:rsidRPr="009E5D6D" w:rsidRDefault="00983EC9" w:rsidP="00D35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EC9" w:rsidRPr="00240939" w:rsidTr="00BA7039">
        <w:tc>
          <w:tcPr>
            <w:tcW w:w="476" w:type="dxa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Проведение поисково-спасательных, аварийно-спасательных и других неотложных работ, иные транспортные и погрузочно-разгрузочные услуги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9E5D6D" w:rsidRDefault="00983EC9" w:rsidP="00687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мероприятий предусмотрено финансирование в отчетном периоде 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4 311,9 тыс. руб. На 31.12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 кассовое и фактическое исполнение за отчетный перио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– 558,0 тыс. руб. Не освоение  - 3753,9 тыс. рублей связано с тем, что</w:t>
            </w:r>
            <w:r w:rsidR="006872C0" w:rsidRPr="009E5D6D">
              <w:t xml:space="preserve"> 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осуществлялись по факту необходимости и фактической потребности в целях реагирования на предупреждение и ликвидацию ЧС..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9E5D6D" w:rsidRDefault="000F64D4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местной автоматизированной системы централизованного оповещения гражданской обороны муниципального района «Заполярный район» в МО «Омский сельсовет»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9E5D6D" w:rsidRDefault="00D102DE" w:rsidP="00983E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Заключен </w:t>
            </w:r>
            <w:r w:rsidR="00983EC9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МК 01-15-29/21 от 17.05.2021</w:t>
            </w:r>
            <w:r w:rsidR="00983EC9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 ООО "М-</w:t>
            </w:r>
            <w:proofErr w:type="spellStart"/>
            <w:r w:rsidR="00983EC9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Айти</w:t>
            </w:r>
            <w:proofErr w:type="spellEnd"/>
            <w:r w:rsidR="00983EC9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НАО". Срок выполнения работ 14.04.2022. Стоимость работ 5 879 650,0 руб. </w:t>
            </w:r>
          </w:p>
          <w:p w:rsidR="00983EC9" w:rsidRPr="009E5D6D" w:rsidRDefault="00983EC9" w:rsidP="00983E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Кассовое и фактическое освоение составило 5879,65 тыс. рублей. Исполнение – 100%.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9E5D6D" w:rsidRDefault="000F64D4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6872C0" w:rsidRPr="009E5D6D" w:rsidRDefault="00983EC9" w:rsidP="000F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трено в отчетном периоде 2022 года финансирование в сумме 11 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54,0 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Кассовое и фактическое исполне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за отчетный период – </w:t>
            </w:r>
          </w:p>
          <w:p w:rsidR="00983EC9" w:rsidRPr="009E5D6D" w:rsidRDefault="006872C0" w:rsidP="00687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11 078,6</w:t>
            </w:r>
            <w:r w:rsidR="00983EC9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99,3</w:t>
            </w:r>
            <w:r w:rsidR="000F64D4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плана на 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  <w:r w:rsidR="000F64D4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освоение 75.4 тыс. рублей связано </w:t>
            </w:r>
            <w:r w:rsidR="000F64D4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образованием экономии при заключении договоров и проведения конкурсных процедур (в том числе – СП «</w:t>
            </w:r>
            <w:proofErr w:type="spellStart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Приморско-Куйский</w:t>
            </w:r>
            <w:proofErr w:type="spellEnd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34,5 тыс. рублей, СП «Пустозерский сельсовет» ЗР НАО – 18,6 тыс. рублей, СП «</w:t>
            </w:r>
            <w:proofErr w:type="spellStart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Хоседа-Хардский</w:t>
            </w:r>
            <w:proofErr w:type="spellEnd"/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22,3 тыс. рублей).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9E5D6D" w:rsidRDefault="000F64D4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9E5D6D" w:rsidRDefault="00983EC9" w:rsidP="00C36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трено в отчетном периоде 2022 году финансирование в сумме 436,7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олнение за отчетный период – 408,3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93,5% от плана на 2022 год</w:t>
            </w:r>
            <w:r w:rsidR="000F64D4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872C0" w:rsidRPr="009E5D6D">
              <w:t xml:space="preserve"> 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освоение 28</w:t>
            </w:r>
            <w:r w:rsidR="00C36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тыс. рублей связано  с образованием экономии при заключении договоров и проведения конкурсных процедур (в том числе – СП «</w:t>
            </w:r>
            <w:proofErr w:type="spellStart"/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Приморско-Куйский</w:t>
            </w:r>
            <w:proofErr w:type="spellEnd"/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– 28,4</w:t>
            </w:r>
            <w:r w:rsidR="009E5D6D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872C0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83EC9" w:rsidRPr="00240939" w:rsidTr="00BA7039">
        <w:trPr>
          <w:trHeight w:val="1666"/>
        </w:trPr>
        <w:tc>
          <w:tcPr>
            <w:tcW w:w="476" w:type="dxa"/>
          </w:tcPr>
          <w:p w:rsidR="00983EC9" w:rsidRPr="009E5D6D" w:rsidRDefault="000F64D4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9E5D6D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3EC9" w:rsidRPr="009E5D6D" w:rsidRDefault="00983EC9" w:rsidP="00983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9E5D6D" w:rsidRDefault="00983EC9" w:rsidP="009E5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финансирование в 2022 г. – 90,0 тыс. рублей. Фактическое и кассовое и</w:t>
            </w:r>
            <w:r w:rsidR="009E5D6D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сполнение за отчетный период – 4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 тыс. рублей</w:t>
            </w:r>
            <w:r w:rsidR="009E5D6D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53,3</w:t>
            </w:r>
            <w:r w:rsidR="00417D62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плана</w:t>
            </w:r>
            <w:r w:rsidR="009E5D6D"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Причина не освоения 42</w:t>
            </w:r>
            <w:r w:rsidRPr="009E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рублей, из них:</w:t>
            </w: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>СП «</w:t>
            </w:r>
            <w:proofErr w:type="spellStart"/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>Приморско-Куйский</w:t>
            </w:r>
            <w:proofErr w:type="spellEnd"/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ЗР НАО – 2,0 тыс. рублей, СП «Тиманский сельсовет» ЗР НАО – 10,0 тыс. рублей, </w:t>
            </w: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>Юшарский</w:t>
            </w:r>
            <w:proofErr w:type="spellEnd"/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ЗР НАО - 10</w:t>
            </w: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>, МО «Рабочий поселок Искателей» ЗР НАО – 10,0 тыс. рублей, СП «</w:t>
            </w:r>
            <w:proofErr w:type="spellStart"/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>Малоземельский</w:t>
            </w:r>
            <w:proofErr w:type="spellEnd"/>
            <w:r w:rsidR="009E5D6D"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ЗР НАО – 10,0 тыс. рублей</w:t>
            </w:r>
            <w:r w:rsidRPr="009E5D6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отсутствие мероприятий по выходу на дежурство</w:t>
            </w:r>
            <w:r w:rsidR="00417D62" w:rsidRPr="009E5D6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EF68B5" w:rsidRPr="00F236CF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A5B" w:rsidRPr="00F236CF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C5A" w:rsidRPr="00F236CF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F236CF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52AD2"/>
    <w:rsid w:val="00056F90"/>
    <w:rsid w:val="00081F4D"/>
    <w:rsid w:val="00091842"/>
    <w:rsid w:val="000A6373"/>
    <w:rsid w:val="000C2F21"/>
    <w:rsid w:val="000D35BF"/>
    <w:rsid w:val="000D7E0E"/>
    <w:rsid w:val="000E28A7"/>
    <w:rsid w:val="000F400A"/>
    <w:rsid w:val="000F64D4"/>
    <w:rsid w:val="00111DF0"/>
    <w:rsid w:val="001144C4"/>
    <w:rsid w:val="00125D4E"/>
    <w:rsid w:val="00132260"/>
    <w:rsid w:val="00134162"/>
    <w:rsid w:val="00142879"/>
    <w:rsid w:val="00195CB8"/>
    <w:rsid w:val="00197F52"/>
    <w:rsid w:val="001B4087"/>
    <w:rsid w:val="001C197A"/>
    <w:rsid w:val="001D06A6"/>
    <w:rsid w:val="001E30D4"/>
    <w:rsid w:val="001E7BB0"/>
    <w:rsid w:val="001F5042"/>
    <w:rsid w:val="00211B38"/>
    <w:rsid w:val="002149B3"/>
    <w:rsid w:val="00220F88"/>
    <w:rsid w:val="00240939"/>
    <w:rsid w:val="00251B57"/>
    <w:rsid w:val="00257517"/>
    <w:rsid w:val="00295528"/>
    <w:rsid w:val="00297D9F"/>
    <w:rsid w:val="002A5EA1"/>
    <w:rsid w:val="002C408D"/>
    <w:rsid w:val="002D4088"/>
    <w:rsid w:val="002E3F82"/>
    <w:rsid w:val="0031082C"/>
    <w:rsid w:val="00311609"/>
    <w:rsid w:val="00326319"/>
    <w:rsid w:val="00326610"/>
    <w:rsid w:val="00350B16"/>
    <w:rsid w:val="00371AE6"/>
    <w:rsid w:val="0037304E"/>
    <w:rsid w:val="0039653A"/>
    <w:rsid w:val="003A0A73"/>
    <w:rsid w:val="003A0EF8"/>
    <w:rsid w:val="003B380D"/>
    <w:rsid w:val="003C7189"/>
    <w:rsid w:val="003D1D77"/>
    <w:rsid w:val="003E0153"/>
    <w:rsid w:val="00406DD2"/>
    <w:rsid w:val="00417D62"/>
    <w:rsid w:val="00447FCA"/>
    <w:rsid w:val="004502DC"/>
    <w:rsid w:val="00450C2E"/>
    <w:rsid w:val="00453F6B"/>
    <w:rsid w:val="00457AF4"/>
    <w:rsid w:val="00466EB0"/>
    <w:rsid w:val="00473D8A"/>
    <w:rsid w:val="00490FFC"/>
    <w:rsid w:val="00495E0D"/>
    <w:rsid w:val="004A0C30"/>
    <w:rsid w:val="004F2D5B"/>
    <w:rsid w:val="004F3BE2"/>
    <w:rsid w:val="00520A91"/>
    <w:rsid w:val="00523DB4"/>
    <w:rsid w:val="00530EF6"/>
    <w:rsid w:val="00547E0E"/>
    <w:rsid w:val="005823D5"/>
    <w:rsid w:val="00584900"/>
    <w:rsid w:val="00587F5D"/>
    <w:rsid w:val="005A35F1"/>
    <w:rsid w:val="005B485A"/>
    <w:rsid w:val="005D3C8C"/>
    <w:rsid w:val="005D78E6"/>
    <w:rsid w:val="005F6E2B"/>
    <w:rsid w:val="00600A5A"/>
    <w:rsid w:val="00622B5E"/>
    <w:rsid w:val="00634E0D"/>
    <w:rsid w:val="006403C1"/>
    <w:rsid w:val="00656988"/>
    <w:rsid w:val="00663E00"/>
    <w:rsid w:val="00680182"/>
    <w:rsid w:val="0068276C"/>
    <w:rsid w:val="006872C0"/>
    <w:rsid w:val="0069354B"/>
    <w:rsid w:val="006C482D"/>
    <w:rsid w:val="006D76BD"/>
    <w:rsid w:val="006E0DB4"/>
    <w:rsid w:val="006E15EF"/>
    <w:rsid w:val="006F6EA2"/>
    <w:rsid w:val="007028DC"/>
    <w:rsid w:val="00720E8F"/>
    <w:rsid w:val="00725F50"/>
    <w:rsid w:val="00733317"/>
    <w:rsid w:val="00775711"/>
    <w:rsid w:val="00780D07"/>
    <w:rsid w:val="007A7C5A"/>
    <w:rsid w:val="007D1C89"/>
    <w:rsid w:val="007F5909"/>
    <w:rsid w:val="00805389"/>
    <w:rsid w:val="008427AF"/>
    <w:rsid w:val="008654CE"/>
    <w:rsid w:val="008658FF"/>
    <w:rsid w:val="00872854"/>
    <w:rsid w:val="008C26CC"/>
    <w:rsid w:val="008D1589"/>
    <w:rsid w:val="008F2399"/>
    <w:rsid w:val="008F7595"/>
    <w:rsid w:val="0090323D"/>
    <w:rsid w:val="00906D3D"/>
    <w:rsid w:val="0091153E"/>
    <w:rsid w:val="009210E0"/>
    <w:rsid w:val="009266C4"/>
    <w:rsid w:val="009415D8"/>
    <w:rsid w:val="00946F3E"/>
    <w:rsid w:val="009734C0"/>
    <w:rsid w:val="009766A6"/>
    <w:rsid w:val="00983EC9"/>
    <w:rsid w:val="009D518D"/>
    <w:rsid w:val="009E4804"/>
    <w:rsid w:val="009E5D6D"/>
    <w:rsid w:val="009E692F"/>
    <w:rsid w:val="00A14023"/>
    <w:rsid w:val="00A30BA1"/>
    <w:rsid w:val="00A607D1"/>
    <w:rsid w:val="00A66F96"/>
    <w:rsid w:val="00A760D2"/>
    <w:rsid w:val="00A86CC3"/>
    <w:rsid w:val="00A87FD2"/>
    <w:rsid w:val="00A9018D"/>
    <w:rsid w:val="00A95CE5"/>
    <w:rsid w:val="00A97F9E"/>
    <w:rsid w:val="00AA75F5"/>
    <w:rsid w:val="00AB1FF2"/>
    <w:rsid w:val="00AB61E4"/>
    <w:rsid w:val="00AC364C"/>
    <w:rsid w:val="00AE3C4B"/>
    <w:rsid w:val="00AE76CC"/>
    <w:rsid w:val="00B05FE8"/>
    <w:rsid w:val="00B07F01"/>
    <w:rsid w:val="00B101D7"/>
    <w:rsid w:val="00B2030A"/>
    <w:rsid w:val="00B74226"/>
    <w:rsid w:val="00B8128B"/>
    <w:rsid w:val="00B83BD0"/>
    <w:rsid w:val="00B95CFC"/>
    <w:rsid w:val="00BA7039"/>
    <w:rsid w:val="00BB3A2A"/>
    <w:rsid w:val="00BB7A78"/>
    <w:rsid w:val="00BE1346"/>
    <w:rsid w:val="00BF19CB"/>
    <w:rsid w:val="00C00526"/>
    <w:rsid w:val="00C11C42"/>
    <w:rsid w:val="00C36CC3"/>
    <w:rsid w:val="00C374A4"/>
    <w:rsid w:val="00C65D99"/>
    <w:rsid w:val="00C749BA"/>
    <w:rsid w:val="00C80DD6"/>
    <w:rsid w:val="00C84F71"/>
    <w:rsid w:val="00C855A8"/>
    <w:rsid w:val="00C90F8F"/>
    <w:rsid w:val="00CB2800"/>
    <w:rsid w:val="00CB2A6C"/>
    <w:rsid w:val="00CB5749"/>
    <w:rsid w:val="00CF2635"/>
    <w:rsid w:val="00D04C6F"/>
    <w:rsid w:val="00D102DE"/>
    <w:rsid w:val="00D14FEF"/>
    <w:rsid w:val="00D3119F"/>
    <w:rsid w:val="00D32C14"/>
    <w:rsid w:val="00D353BD"/>
    <w:rsid w:val="00D37F76"/>
    <w:rsid w:val="00D626D2"/>
    <w:rsid w:val="00D63959"/>
    <w:rsid w:val="00D9433E"/>
    <w:rsid w:val="00DC33E8"/>
    <w:rsid w:val="00DF33C9"/>
    <w:rsid w:val="00DF3604"/>
    <w:rsid w:val="00DF67F3"/>
    <w:rsid w:val="00E04A5B"/>
    <w:rsid w:val="00E4776F"/>
    <w:rsid w:val="00E51F04"/>
    <w:rsid w:val="00E641D4"/>
    <w:rsid w:val="00E66BD7"/>
    <w:rsid w:val="00E67F5C"/>
    <w:rsid w:val="00E71382"/>
    <w:rsid w:val="00EB7CDA"/>
    <w:rsid w:val="00EC191D"/>
    <w:rsid w:val="00ED7BB7"/>
    <w:rsid w:val="00EF68B5"/>
    <w:rsid w:val="00EF6C72"/>
    <w:rsid w:val="00F10FF2"/>
    <w:rsid w:val="00F144AB"/>
    <w:rsid w:val="00F236CF"/>
    <w:rsid w:val="00F3096E"/>
    <w:rsid w:val="00F3433D"/>
    <w:rsid w:val="00F438F3"/>
    <w:rsid w:val="00F4676D"/>
    <w:rsid w:val="00F52BC4"/>
    <w:rsid w:val="00F534F3"/>
    <w:rsid w:val="00F541B1"/>
    <w:rsid w:val="00F917B0"/>
    <w:rsid w:val="00F9428E"/>
    <w:rsid w:val="00F947E4"/>
    <w:rsid w:val="00FB0A10"/>
    <w:rsid w:val="00FC7FAF"/>
    <w:rsid w:val="00FD32B0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6127"/>
  <w15:docId w15:val="{E631FAB2-B269-4C77-86D2-0D9AD6EC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F8AC-3892-4D38-A1B3-DE2F3D05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5</cp:revision>
  <cp:lastPrinted>2020-01-31T08:13:00Z</cp:lastPrinted>
  <dcterms:created xsi:type="dcterms:W3CDTF">2023-01-09T11:07:00Z</dcterms:created>
  <dcterms:modified xsi:type="dcterms:W3CDTF">2023-02-16T12:34:00Z</dcterms:modified>
</cp:coreProperties>
</file>