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72854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72854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72854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72854">
        <w:rPr>
          <w:sz w:val="26"/>
          <w:szCs w:val="26"/>
        </w:rPr>
        <w:t xml:space="preserve"> </w:t>
      </w:r>
      <w:r w:rsidR="003A0EF8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</w:t>
      </w:r>
      <w:r w:rsidR="00F3433D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C36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9E692F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квартал </w:t>
      </w:r>
      <w:r w:rsidR="00F144AB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2022</w:t>
      </w:r>
      <w:r w:rsidR="00F3433D" w:rsidRPr="0087285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311609" w:rsidRPr="00872854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72854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proofErr w:type="gramStart"/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№  177</w:t>
      </w:r>
      <w:proofErr w:type="gramEnd"/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72854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72854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311609" w:rsidRPr="00872854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872854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57517"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обучения населения способам и действиям в экстремальных ситуациях;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профилактической и информационно-пропагандистской работы;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предотвращения гибели людей на водных объектах;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приобретение резерва материально-технических средств, создание условий для хранения, использования и восполнения резервов материальных ресурсов;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предупреждение чрезвычайных ситуаций и ликвидация их последствий, которые могут привести к гибели или </w:t>
      </w:r>
      <w:proofErr w:type="spellStart"/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травмированию</w:t>
      </w:r>
      <w:proofErr w:type="spellEnd"/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населения, нарушению функционирования систем жизнеобеспечения населения;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антитеррористической защищенности мест массового пребывания людей, социально-значимых объектов и объектов жизнеобеспечения населения;</w:t>
      </w:r>
    </w:p>
    <w:p w:rsidR="00257517" w:rsidRPr="00872854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28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функционирования системы профилактики правонарушений на территории городского и сельских поселений Заполярного района.</w:t>
      </w:r>
    </w:p>
    <w:p w:rsidR="00BA7039" w:rsidRPr="00872854" w:rsidRDefault="00F144AB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72854">
        <w:rPr>
          <w:rFonts w:ascii="Times New Roman" w:hAnsi="Times New Roman" w:cs="Times New Roman"/>
          <w:sz w:val="26"/>
          <w:szCs w:val="26"/>
        </w:rPr>
        <w:lastRenderedPageBreak/>
        <w:t>На 2022</w:t>
      </w:r>
      <w:r w:rsidR="00BA7039" w:rsidRPr="00872854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72854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72854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8654CE" w:rsidRPr="008654CE">
        <w:rPr>
          <w:rFonts w:ascii="Times New Roman" w:hAnsi="Times New Roman" w:cs="Times New Roman"/>
          <w:sz w:val="26"/>
          <w:szCs w:val="26"/>
        </w:rPr>
        <w:t>36</w:t>
      </w:r>
      <w:r w:rsidR="00F3096E">
        <w:rPr>
          <w:rFonts w:ascii="Times New Roman" w:hAnsi="Times New Roman" w:cs="Times New Roman"/>
          <w:sz w:val="26"/>
          <w:szCs w:val="26"/>
        </w:rPr>
        <w:t xml:space="preserve"> </w:t>
      </w:r>
      <w:r w:rsidR="008654CE" w:rsidRPr="008654CE">
        <w:rPr>
          <w:rFonts w:ascii="Times New Roman" w:hAnsi="Times New Roman" w:cs="Times New Roman"/>
          <w:sz w:val="26"/>
          <w:szCs w:val="26"/>
        </w:rPr>
        <w:t>574,5</w:t>
      </w:r>
      <w:r w:rsidR="008654C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72854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72854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 </w:t>
      </w:r>
    </w:p>
    <w:p w:rsidR="00BA7039" w:rsidRPr="00872854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72854">
        <w:rPr>
          <w:rFonts w:ascii="Times New Roman" w:hAnsi="Times New Roman" w:cs="Times New Roman"/>
          <w:sz w:val="26"/>
          <w:szCs w:val="26"/>
        </w:rPr>
        <w:t>План на</w:t>
      </w:r>
      <w:r w:rsidR="008654CE">
        <w:rPr>
          <w:rFonts w:ascii="Times New Roman" w:hAnsi="Times New Roman" w:cs="Times New Roman"/>
          <w:sz w:val="26"/>
          <w:szCs w:val="26"/>
        </w:rPr>
        <w:t xml:space="preserve"> 3</w:t>
      </w:r>
      <w:r w:rsidR="009E692F" w:rsidRPr="00872854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Pr="00872854">
        <w:rPr>
          <w:rFonts w:ascii="Times New Roman" w:hAnsi="Times New Roman" w:cs="Times New Roman"/>
          <w:sz w:val="26"/>
          <w:szCs w:val="26"/>
        </w:rPr>
        <w:t xml:space="preserve"> </w:t>
      </w:r>
      <w:r w:rsidR="00F144AB" w:rsidRPr="00872854">
        <w:rPr>
          <w:rFonts w:ascii="Times New Roman" w:hAnsi="Times New Roman" w:cs="Times New Roman"/>
          <w:sz w:val="26"/>
          <w:szCs w:val="26"/>
        </w:rPr>
        <w:t>2022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 год</w:t>
      </w:r>
      <w:r w:rsidR="009E692F" w:rsidRPr="00872854">
        <w:rPr>
          <w:rFonts w:ascii="Times New Roman" w:hAnsi="Times New Roman" w:cs="Times New Roman"/>
          <w:sz w:val="26"/>
          <w:szCs w:val="26"/>
        </w:rPr>
        <w:t>а</w:t>
      </w:r>
      <w:r w:rsidR="00BB7A78" w:rsidRPr="00872854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8654CE" w:rsidRPr="008654CE">
        <w:rPr>
          <w:rFonts w:ascii="Times New Roman" w:hAnsi="Times New Roman" w:cs="Times New Roman"/>
          <w:sz w:val="26"/>
          <w:szCs w:val="26"/>
        </w:rPr>
        <w:t>24</w:t>
      </w:r>
      <w:r w:rsidR="00983EC9">
        <w:rPr>
          <w:rFonts w:ascii="Times New Roman" w:hAnsi="Times New Roman" w:cs="Times New Roman"/>
          <w:sz w:val="26"/>
          <w:szCs w:val="26"/>
        </w:rPr>
        <w:t xml:space="preserve"> </w:t>
      </w:r>
      <w:r w:rsidR="008654CE" w:rsidRPr="008654CE">
        <w:rPr>
          <w:rFonts w:ascii="Times New Roman" w:hAnsi="Times New Roman" w:cs="Times New Roman"/>
          <w:sz w:val="26"/>
          <w:szCs w:val="26"/>
        </w:rPr>
        <w:t>837,</w:t>
      </w:r>
      <w:r w:rsidR="00F3096E">
        <w:rPr>
          <w:rFonts w:ascii="Times New Roman" w:hAnsi="Times New Roman" w:cs="Times New Roman"/>
          <w:sz w:val="26"/>
          <w:szCs w:val="26"/>
        </w:rPr>
        <w:t>8</w:t>
      </w:r>
      <w:r w:rsidR="008654CE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72854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72854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</w:t>
      </w:r>
    </w:p>
    <w:p w:rsidR="00BA7039" w:rsidRPr="00872854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72854">
        <w:rPr>
          <w:rFonts w:ascii="Times New Roman" w:hAnsi="Times New Roman" w:cs="Times New Roman"/>
          <w:sz w:val="26"/>
          <w:szCs w:val="26"/>
        </w:rPr>
        <w:t>Ка</w:t>
      </w:r>
      <w:r w:rsidR="00BB7A78" w:rsidRPr="00872854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 </w:t>
      </w:r>
      <w:r w:rsidR="008654CE" w:rsidRPr="008654CE">
        <w:rPr>
          <w:rFonts w:ascii="Times New Roman" w:hAnsi="Times New Roman" w:cs="Times New Roman"/>
          <w:sz w:val="26"/>
          <w:szCs w:val="26"/>
        </w:rPr>
        <w:t>24</w:t>
      </w:r>
      <w:r w:rsidR="00983EC9">
        <w:rPr>
          <w:rFonts w:ascii="Times New Roman" w:hAnsi="Times New Roman" w:cs="Times New Roman"/>
          <w:sz w:val="26"/>
          <w:szCs w:val="26"/>
        </w:rPr>
        <w:t xml:space="preserve"> </w:t>
      </w:r>
      <w:r w:rsidR="008654CE" w:rsidRPr="008654CE">
        <w:rPr>
          <w:rFonts w:ascii="Times New Roman" w:hAnsi="Times New Roman" w:cs="Times New Roman"/>
          <w:sz w:val="26"/>
          <w:szCs w:val="26"/>
        </w:rPr>
        <w:t>416,1</w:t>
      </w:r>
      <w:r w:rsidR="008654CE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872854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872854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872854">
        <w:rPr>
          <w:rFonts w:ascii="Times New Roman" w:hAnsi="Times New Roman" w:cs="Times New Roman"/>
          <w:sz w:val="26"/>
          <w:szCs w:val="26"/>
        </w:rPr>
        <w:t>ля</w:t>
      </w:r>
      <w:r w:rsidR="009E692F" w:rsidRPr="00872854">
        <w:rPr>
          <w:rFonts w:ascii="Times New Roman" w:hAnsi="Times New Roman" w:cs="Times New Roman"/>
          <w:sz w:val="26"/>
          <w:szCs w:val="26"/>
        </w:rPr>
        <w:t xml:space="preserve">ет </w:t>
      </w:r>
      <w:r w:rsidR="008654CE">
        <w:rPr>
          <w:rFonts w:ascii="Times New Roman" w:hAnsi="Times New Roman" w:cs="Times New Roman"/>
          <w:sz w:val="26"/>
          <w:szCs w:val="26"/>
        </w:rPr>
        <w:t>98</w:t>
      </w:r>
      <w:bookmarkStart w:id="0" w:name="_GoBack"/>
      <w:bookmarkEnd w:id="0"/>
      <w:r w:rsidR="008654CE">
        <w:rPr>
          <w:rFonts w:ascii="Times New Roman" w:hAnsi="Times New Roman" w:cs="Times New Roman"/>
          <w:sz w:val="26"/>
          <w:szCs w:val="26"/>
        </w:rPr>
        <w:t>,3</w:t>
      </w:r>
      <w:r w:rsidRPr="00872854">
        <w:rPr>
          <w:rFonts w:ascii="Times New Roman" w:hAnsi="Times New Roman" w:cs="Times New Roman"/>
          <w:sz w:val="26"/>
          <w:szCs w:val="26"/>
        </w:rPr>
        <w:t xml:space="preserve"> % от плана на </w:t>
      </w:r>
      <w:r w:rsidR="008654CE">
        <w:rPr>
          <w:rFonts w:ascii="Times New Roman" w:hAnsi="Times New Roman" w:cs="Times New Roman"/>
          <w:sz w:val="26"/>
          <w:szCs w:val="26"/>
        </w:rPr>
        <w:t>3</w:t>
      </w:r>
      <w:r w:rsidR="009E692F" w:rsidRPr="00872854">
        <w:rPr>
          <w:rFonts w:ascii="Times New Roman" w:hAnsi="Times New Roman" w:cs="Times New Roman"/>
          <w:sz w:val="26"/>
          <w:szCs w:val="26"/>
        </w:rPr>
        <w:t xml:space="preserve"> квартал 202</w:t>
      </w:r>
      <w:r w:rsidR="00C855A8" w:rsidRPr="00872854">
        <w:rPr>
          <w:rFonts w:ascii="Times New Roman" w:hAnsi="Times New Roman" w:cs="Times New Roman"/>
          <w:sz w:val="26"/>
          <w:szCs w:val="26"/>
        </w:rPr>
        <w:t>2</w:t>
      </w:r>
      <w:r w:rsidR="003A0EF8" w:rsidRPr="00872854">
        <w:rPr>
          <w:rFonts w:ascii="Times New Roman" w:hAnsi="Times New Roman" w:cs="Times New Roman"/>
          <w:sz w:val="26"/>
          <w:szCs w:val="26"/>
        </w:rPr>
        <w:t xml:space="preserve"> год</w:t>
      </w:r>
      <w:r w:rsidR="009E692F" w:rsidRPr="00872854">
        <w:rPr>
          <w:rFonts w:ascii="Times New Roman" w:hAnsi="Times New Roman" w:cs="Times New Roman"/>
          <w:sz w:val="26"/>
          <w:szCs w:val="26"/>
        </w:rPr>
        <w:t>а</w:t>
      </w:r>
      <w:r w:rsidR="00BA7039" w:rsidRPr="00872854">
        <w:rPr>
          <w:rFonts w:ascii="Times New Roman" w:hAnsi="Times New Roman" w:cs="Times New Roman"/>
          <w:sz w:val="26"/>
          <w:szCs w:val="26"/>
        </w:rPr>
        <w:t>.</w:t>
      </w:r>
    </w:p>
    <w:p w:rsidR="00F3433D" w:rsidRPr="004F2D5B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240939" w:rsidTr="00BA7039">
        <w:tc>
          <w:tcPr>
            <w:tcW w:w="476" w:type="dxa"/>
          </w:tcPr>
          <w:p w:rsidR="00EF68B5" w:rsidRPr="002409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2409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2409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4F2D5B" w:rsidRPr="00240939" w:rsidTr="00BA7039">
        <w:tc>
          <w:tcPr>
            <w:tcW w:w="476" w:type="dxa"/>
          </w:tcPr>
          <w:p w:rsidR="00BA7039" w:rsidRPr="00240939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A7039" w:rsidRPr="00240939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BA7039" w:rsidRPr="00240939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</w:tcPr>
          <w:p w:rsidR="00983EC9" w:rsidRPr="00240939" w:rsidRDefault="00C855A8" w:rsidP="008654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Кассовое и </w:t>
            </w:r>
            <w:r w:rsidR="00F541B1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фактическое освоение составило </w:t>
            </w:r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93,3 </w:t>
            </w: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  <w:r w:rsidR="00F541B1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Планом на отчетный период предусмотрено </w:t>
            </w:r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163,2 </w:t>
            </w: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  <w:r w:rsidR="00F541B1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– 57,2</w:t>
            </w:r>
            <w:r w:rsidR="00F541B1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%.</w:t>
            </w:r>
          </w:p>
          <w:p w:rsidR="00BA7039" w:rsidRPr="00240939" w:rsidRDefault="00D14FEF" w:rsidP="00865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Не освоение 69,9 тыс. рублей связано с переносом обучения неработающего населения на 4 квартал 2022 года в СП «</w:t>
            </w:r>
            <w:proofErr w:type="spellStart"/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Колгуевский</w:t>
            </w:r>
            <w:proofErr w:type="spellEnd"/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ЗР НАО  (11,6 тыс. рублей),  СП «Омский сельсовет» ЗР НАО  (35,0 тыс. рублей), СП «</w:t>
            </w:r>
            <w:proofErr w:type="spellStart"/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Юшарский</w:t>
            </w:r>
            <w:proofErr w:type="spellEnd"/>
            <w:r w:rsidR="008654CE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ЗР НАО  (23,3 тыс. рублей).</w:t>
            </w:r>
          </w:p>
        </w:tc>
      </w:tr>
      <w:tr w:rsidR="008654CE" w:rsidRPr="00240939" w:rsidTr="00BA7039">
        <w:tc>
          <w:tcPr>
            <w:tcW w:w="476" w:type="dxa"/>
          </w:tcPr>
          <w:p w:rsidR="008654CE" w:rsidRPr="00240939" w:rsidRDefault="00A14023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654CE" w:rsidRPr="00240939" w:rsidRDefault="008654CE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Организация мест массового отдыха (пляжи) населения на водных объектах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654CE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 № 01-15-22/22 от 21.03.2022 с </w:t>
            </w: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ИП 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Слезкина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Е.О. Срок исполнения 18.08.2022. Стоимость работ 926 825,0 рублей. </w:t>
            </w:r>
            <w:r w:rsidR="008654CE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– 100%.</w:t>
            </w:r>
          </w:p>
        </w:tc>
      </w:tr>
      <w:tr w:rsidR="008654CE" w:rsidRPr="00240939" w:rsidTr="00BA7039">
        <w:tc>
          <w:tcPr>
            <w:tcW w:w="476" w:type="dxa"/>
          </w:tcPr>
          <w:p w:rsidR="008654CE" w:rsidRPr="00240939" w:rsidRDefault="00A14023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654CE" w:rsidRPr="00240939" w:rsidRDefault="008654CE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и монтаж мостового перехода из сборных модульных понтонов через протоку </w:t>
            </w:r>
            <w:proofErr w:type="spellStart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Макаровская</w:t>
            </w:r>
            <w:proofErr w:type="spellEnd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 xml:space="preserve"> Курья в д. </w:t>
            </w:r>
            <w:proofErr w:type="spellStart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Макарово</w:t>
            </w:r>
            <w:proofErr w:type="spellEnd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</w:t>
            </w:r>
            <w:proofErr w:type="spellStart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Тельвисочный</w:t>
            </w:r>
            <w:proofErr w:type="spellEnd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сельсовет"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654CE" w:rsidRPr="00240939" w:rsidRDefault="008654CE" w:rsidP="00F94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финансирование в отчетном периоде </w:t>
            </w:r>
            <w:r w:rsidR="009210E0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0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10E0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272,7 </w:t>
            </w: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Кассовое и фактическое освоение составило </w:t>
            </w:r>
            <w:r w:rsidR="009210E0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2272,6 </w:t>
            </w: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  <w:r w:rsidR="009210E0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– 99,9</w:t>
            </w: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  <w:r w:rsidR="009210E0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428E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 муниципальный контракт № </w:t>
            </w:r>
            <w:proofErr w:type="gramStart"/>
            <w:r w:rsidR="00F9428E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0184300000422000078  от</w:t>
            </w:r>
            <w:proofErr w:type="gramEnd"/>
            <w:r w:rsidR="00F9428E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11.05.2022</w:t>
            </w:r>
            <w:r w:rsidR="00B10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B101D7" w:rsidRPr="00B10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"АВТОМАРКЕТ"</w:t>
            </w:r>
            <w:r w:rsidR="00F9428E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сумму </w:t>
            </w:r>
            <w:r w:rsidR="009210E0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428E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2 272 600,00 рублей.</w:t>
            </w:r>
            <w:r w:rsidR="00B10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выполнения работ до 30.09.2022.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резерва материальных ресурсов в соответствии с утвержденной номенклатурой для предупреждения и ликвидации ЧС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Кассовое и фактическое освоение составило 2411,3 тыс. рублей. Планом на отчетный период предусмотрено 2411,3 тыс. рублей. Освоение 100%.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ЧС в границах поселений муниципальных образований</w:t>
            </w:r>
          </w:p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финансирование в отчетном периоде 6 338,6 тыс. руб. На 01.10.2022 кассовое и фактическое исполнение за отчетный период – 6 003,4 тыс. руб. Не освоение 335,2 тыс. рублей:</w:t>
            </w:r>
          </w:p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Сельское поселение "Великовисочный сельсовет 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ЗР НАО (0,1 тыс. рублей), Сельское поселение "Карский сельсовет" ЗР НАО (77,6 тыс. рублей), Сельское поселение "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Пешский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(57,0 тыс. рублей), Сельское поселение "Хорей-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Верский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(139,2 тыс. рублей), Сельское поселение "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Шоинский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(0,1 тыс. рублей), Сельское поселение "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ЗР НАО (59,3 тыс. рублей), Сельское поселение "Поселок </w:t>
            </w:r>
            <w:proofErr w:type="spellStart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ЗР НАО (1,9 тыс. рублей).</w:t>
            </w:r>
          </w:p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используются в целях проведения превентивных мероприятий по недопущению возникновения ЧС, а также на мероприятия по ликвидации ЧС. Расходы осуществлялись по факту необходимости и фактической потребности. </w:t>
            </w:r>
          </w:p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EC9" w:rsidRPr="00240939" w:rsidTr="00BA7039">
        <w:tc>
          <w:tcPr>
            <w:tcW w:w="476" w:type="dxa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услуги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финансирование в отчетном периоде 558,0 тыс. руб. На 01.10.2022 кассовое и фактическое исполнение за отчетный период – 558,0 тыс. руб. Освоение 100%.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240939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МО «Омский сельсовет»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МК 01-15-29/21 от 17.05.2021 (ООО "М-</w:t>
            </w:r>
            <w:proofErr w:type="spellStart"/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Айти</w:t>
            </w:r>
            <w:proofErr w:type="spellEnd"/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НАО" 5879650,00)</w:t>
            </w: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ООО "М-</w:t>
            </w:r>
            <w:proofErr w:type="spellStart"/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Айти</w:t>
            </w:r>
            <w:proofErr w:type="spellEnd"/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НАО". Срок выполнения работ 14.04.2022. Стоимость работ 5 879 650,0 руб. </w:t>
            </w:r>
          </w:p>
          <w:p w:rsidR="00983EC9" w:rsidRPr="00240939" w:rsidRDefault="00983EC9" w:rsidP="00983E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Кассовое и фактическое освоение составило 5879,65 тыс. рублей. Исполнение – 100%.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240939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0F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в отчетном периоде 2022 г. финансирование в сумме 6035,1тыс. руб. Кассовое и фактическое исполнение за отчетный период – 6 024,0 тыс. руб.</w:t>
            </w:r>
            <w:r w:rsidR="000F64D4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99,8% от плана на 3 квартал. </w:t>
            </w:r>
          </w:p>
        </w:tc>
      </w:tr>
      <w:tr w:rsidR="00983EC9" w:rsidRPr="00240939" w:rsidTr="00BA7039">
        <w:tc>
          <w:tcPr>
            <w:tcW w:w="476" w:type="dxa"/>
          </w:tcPr>
          <w:p w:rsidR="00983EC9" w:rsidRPr="00240939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0F6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мероприятий предусмотрено в отчетном периоде 2022 г. финансирование в сумме 219,3 тыс. руб. Кассовое и фактическое исполнение за отчетный период – 219,1 тыс. руб. </w:t>
            </w:r>
            <w:r w:rsidR="000F64D4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99,9% от плана на 3 квартал.</w:t>
            </w:r>
          </w:p>
        </w:tc>
      </w:tr>
      <w:tr w:rsidR="00983EC9" w:rsidRPr="00240939" w:rsidTr="00BA7039">
        <w:trPr>
          <w:trHeight w:val="1666"/>
        </w:trPr>
        <w:tc>
          <w:tcPr>
            <w:tcW w:w="476" w:type="dxa"/>
          </w:tcPr>
          <w:p w:rsidR="00983EC9" w:rsidRPr="00240939" w:rsidRDefault="000F64D4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983EC9" w:rsidRPr="00240939" w:rsidRDefault="00983EC9" w:rsidP="00983E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3EC9" w:rsidRPr="00240939" w:rsidRDefault="00983EC9" w:rsidP="00983E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83EC9" w:rsidRPr="00240939" w:rsidRDefault="00983EC9" w:rsidP="00417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финансирование в 2022 г. – 90,0 тыс. рублей. Лимит на 3 квартал 2022 года – 33,0 тыс. рублей.  Фактическое и кассовое исполнение за отчетный период – 28,0 тыс. рублей</w:t>
            </w:r>
            <w:r w:rsidR="00417D62"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84,8% от плана</w:t>
            </w:r>
            <w:r w:rsidRPr="00240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Причина не освоения 5,0 тыс. рублей, из них:</w:t>
            </w:r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, Сельское поселение «</w:t>
            </w:r>
            <w:proofErr w:type="spellStart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>Юшарский</w:t>
            </w:r>
            <w:proofErr w:type="spellEnd"/>
            <w:r w:rsidRPr="002409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ЗР НАО - 5,0 тыс. рублей –</w:t>
            </w:r>
            <w:r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отсутствие мероприятий по выходу на дежурство</w:t>
            </w:r>
            <w:r w:rsidR="00417D62" w:rsidRPr="002409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EF68B5" w:rsidRPr="00F236CF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F236CF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C5A" w:rsidRPr="00F236CF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F236C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52AD2"/>
    <w:rsid w:val="00056F90"/>
    <w:rsid w:val="00081F4D"/>
    <w:rsid w:val="000A6373"/>
    <w:rsid w:val="000C2F21"/>
    <w:rsid w:val="000D35BF"/>
    <w:rsid w:val="000D7E0E"/>
    <w:rsid w:val="000E28A7"/>
    <w:rsid w:val="000F400A"/>
    <w:rsid w:val="000F64D4"/>
    <w:rsid w:val="00111DF0"/>
    <w:rsid w:val="001144C4"/>
    <w:rsid w:val="00125D4E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40939"/>
    <w:rsid w:val="00251B57"/>
    <w:rsid w:val="00257517"/>
    <w:rsid w:val="00295528"/>
    <w:rsid w:val="00297D9F"/>
    <w:rsid w:val="002C408D"/>
    <w:rsid w:val="002D4088"/>
    <w:rsid w:val="002E3F82"/>
    <w:rsid w:val="0031082C"/>
    <w:rsid w:val="00311609"/>
    <w:rsid w:val="00326319"/>
    <w:rsid w:val="00326610"/>
    <w:rsid w:val="00350B16"/>
    <w:rsid w:val="00371AE6"/>
    <w:rsid w:val="0037304E"/>
    <w:rsid w:val="003A0A73"/>
    <w:rsid w:val="003A0EF8"/>
    <w:rsid w:val="003B380D"/>
    <w:rsid w:val="003C7189"/>
    <w:rsid w:val="003D1D77"/>
    <w:rsid w:val="003E0153"/>
    <w:rsid w:val="00406DD2"/>
    <w:rsid w:val="00417D6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B485A"/>
    <w:rsid w:val="005D3C8C"/>
    <w:rsid w:val="005D78E6"/>
    <w:rsid w:val="005F6E2B"/>
    <w:rsid w:val="00600A5A"/>
    <w:rsid w:val="00622B5E"/>
    <w:rsid w:val="00634E0D"/>
    <w:rsid w:val="006403C1"/>
    <w:rsid w:val="00656988"/>
    <w:rsid w:val="00663E00"/>
    <w:rsid w:val="00680182"/>
    <w:rsid w:val="0068276C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7C5A"/>
    <w:rsid w:val="007D1C89"/>
    <w:rsid w:val="007F5909"/>
    <w:rsid w:val="00805389"/>
    <w:rsid w:val="008427AF"/>
    <w:rsid w:val="008654CE"/>
    <w:rsid w:val="008658FF"/>
    <w:rsid w:val="00872854"/>
    <w:rsid w:val="008C26CC"/>
    <w:rsid w:val="008D1589"/>
    <w:rsid w:val="008F2399"/>
    <w:rsid w:val="008F7595"/>
    <w:rsid w:val="0090323D"/>
    <w:rsid w:val="00906D3D"/>
    <w:rsid w:val="0091153E"/>
    <w:rsid w:val="009210E0"/>
    <w:rsid w:val="009266C4"/>
    <w:rsid w:val="009415D8"/>
    <w:rsid w:val="00946F3E"/>
    <w:rsid w:val="009734C0"/>
    <w:rsid w:val="009766A6"/>
    <w:rsid w:val="00983EC9"/>
    <w:rsid w:val="009D518D"/>
    <w:rsid w:val="009E4804"/>
    <w:rsid w:val="009E692F"/>
    <w:rsid w:val="00A14023"/>
    <w:rsid w:val="00A30BA1"/>
    <w:rsid w:val="00A607D1"/>
    <w:rsid w:val="00A66F96"/>
    <w:rsid w:val="00A760D2"/>
    <w:rsid w:val="00A86CC3"/>
    <w:rsid w:val="00A87FD2"/>
    <w:rsid w:val="00A9018D"/>
    <w:rsid w:val="00A95CE5"/>
    <w:rsid w:val="00A97F9E"/>
    <w:rsid w:val="00AA75F5"/>
    <w:rsid w:val="00AB1FF2"/>
    <w:rsid w:val="00AB61E4"/>
    <w:rsid w:val="00AC364C"/>
    <w:rsid w:val="00AE3C4B"/>
    <w:rsid w:val="00AE76CC"/>
    <w:rsid w:val="00B05FE8"/>
    <w:rsid w:val="00B07F01"/>
    <w:rsid w:val="00B101D7"/>
    <w:rsid w:val="00B2030A"/>
    <w:rsid w:val="00B74226"/>
    <w:rsid w:val="00B8128B"/>
    <w:rsid w:val="00B83BD0"/>
    <w:rsid w:val="00B95CFC"/>
    <w:rsid w:val="00BA7039"/>
    <w:rsid w:val="00BB3A2A"/>
    <w:rsid w:val="00BB7A78"/>
    <w:rsid w:val="00BE1346"/>
    <w:rsid w:val="00BF19CB"/>
    <w:rsid w:val="00C00526"/>
    <w:rsid w:val="00C11C42"/>
    <w:rsid w:val="00C374A4"/>
    <w:rsid w:val="00C65D99"/>
    <w:rsid w:val="00C749BA"/>
    <w:rsid w:val="00C80DD6"/>
    <w:rsid w:val="00C84F71"/>
    <w:rsid w:val="00C855A8"/>
    <w:rsid w:val="00C90F8F"/>
    <w:rsid w:val="00CB2800"/>
    <w:rsid w:val="00CB2A6C"/>
    <w:rsid w:val="00CB5749"/>
    <w:rsid w:val="00CF2635"/>
    <w:rsid w:val="00D04C6F"/>
    <w:rsid w:val="00D14FEF"/>
    <w:rsid w:val="00D3119F"/>
    <w:rsid w:val="00D32C14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096E"/>
    <w:rsid w:val="00F3433D"/>
    <w:rsid w:val="00F438F3"/>
    <w:rsid w:val="00F4676D"/>
    <w:rsid w:val="00F52BC4"/>
    <w:rsid w:val="00F534F3"/>
    <w:rsid w:val="00F541B1"/>
    <w:rsid w:val="00F917B0"/>
    <w:rsid w:val="00F9428E"/>
    <w:rsid w:val="00F947E4"/>
    <w:rsid w:val="00FB0A10"/>
    <w:rsid w:val="00FC7FAF"/>
    <w:rsid w:val="00FD32B0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F1A"/>
  <w15:docId w15:val="{AE05E601-6731-4BF9-A74F-C053A531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F35D-DF47-402D-A8D1-FCB10932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Ружникова Оксана Павловна</cp:lastModifiedBy>
  <cp:revision>11</cp:revision>
  <cp:lastPrinted>2020-01-31T08:13:00Z</cp:lastPrinted>
  <dcterms:created xsi:type="dcterms:W3CDTF">2022-10-05T06:21:00Z</dcterms:created>
  <dcterms:modified xsi:type="dcterms:W3CDTF">2022-10-17T07:56:00Z</dcterms:modified>
</cp:coreProperties>
</file>